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88E0" w14:textId="3F67467A" w:rsidR="008A7922" w:rsidRDefault="00FE0647" w:rsidP="008A7922">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Review </w:t>
      </w:r>
      <w:r w:rsidR="008A7922">
        <w:rPr>
          <w:rFonts w:ascii="Times New Roman" w:hAnsi="Times New Roman" w:cs="Times New Roman"/>
          <w:b/>
          <w:bCs/>
          <w:sz w:val="48"/>
          <w:szCs w:val="48"/>
          <w:lang w:val="en-US"/>
        </w:rPr>
        <w:t xml:space="preserve">on </w:t>
      </w:r>
      <w:r>
        <w:rPr>
          <w:rFonts w:ascii="Times New Roman" w:hAnsi="Times New Roman" w:cs="Times New Roman"/>
          <w:b/>
          <w:bCs/>
          <w:sz w:val="48"/>
          <w:szCs w:val="48"/>
          <w:lang w:val="en-US"/>
        </w:rPr>
        <w:t>Energy Storage Systems (ESS)</w:t>
      </w:r>
      <w:r w:rsidR="003045D1">
        <w:rPr>
          <w:rFonts w:ascii="Times New Roman" w:hAnsi="Times New Roman" w:cs="Times New Roman"/>
          <w:b/>
          <w:bCs/>
          <w:sz w:val="48"/>
          <w:szCs w:val="48"/>
          <w:lang w:val="en-US"/>
        </w:rPr>
        <w:t xml:space="preserve"> for </w:t>
      </w:r>
      <w:r w:rsidR="00203D93">
        <w:rPr>
          <w:rFonts w:ascii="Times New Roman" w:hAnsi="Times New Roman" w:cs="Times New Roman"/>
          <w:b/>
          <w:bCs/>
          <w:sz w:val="48"/>
          <w:szCs w:val="48"/>
          <w:lang w:val="en-US"/>
        </w:rPr>
        <w:t>Small Scale Microgrid</w:t>
      </w:r>
    </w:p>
    <w:p w14:paraId="62814AFD" w14:textId="77777777" w:rsidR="00FB7CBD" w:rsidRDefault="00FB7CBD" w:rsidP="00006A66">
      <w:pPr>
        <w:jc w:val="both"/>
        <w:rPr>
          <w:rFonts w:ascii="Times New Roman" w:hAnsi="Times New Roman" w:cs="Times New Roman"/>
          <w:b/>
          <w:bCs/>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5271A" w14:paraId="1A54AB48" w14:textId="77777777" w:rsidTr="003A3FD4">
        <w:tc>
          <w:tcPr>
            <w:tcW w:w="4508" w:type="dxa"/>
          </w:tcPr>
          <w:p w14:paraId="437CBD08" w14:textId="7B049483" w:rsidR="00C5271A" w:rsidRPr="00DF15F0" w:rsidRDefault="00C5271A" w:rsidP="00C5271A">
            <w:pPr>
              <w:jc w:val="center"/>
              <w:rPr>
                <w:rFonts w:ascii="Times New Roman" w:hAnsi="Times New Roman" w:cs="Times New Roman"/>
                <w:sz w:val="20"/>
                <w:szCs w:val="20"/>
                <w:lang w:val="en-US"/>
              </w:rPr>
            </w:pPr>
            <w:r w:rsidRPr="00DF15F0">
              <w:rPr>
                <w:rFonts w:ascii="Times New Roman" w:hAnsi="Times New Roman" w:cs="Times New Roman"/>
                <w:sz w:val="20"/>
                <w:szCs w:val="20"/>
                <w:lang w:val="en-US"/>
              </w:rPr>
              <w:t>Likhitha S Shenoi</w:t>
            </w:r>
          </w:p>
        </w:tc>
        <w:tc>
          <w:tcPr>
            <w:tcW w:w="4508" w:type="dxa"/>
          </w:tcPr>
          <w:p w14:paraId="236CA723" w14:textId="69539B75" w:rsidR="00C5271A" w:rsidRPr="00DF15F0" w:rsidRDefault="00C5271A" w:rsidP="00C5271A">
            <w:pPr>
              <w:jc w:val="center"/>
              <w:rPr>
                <w:rFonts w:ascii="Times New Roman" w:hAnsi="Times New Roman" w:cs="Times New Roman"/>
                <w:sz w:val="20"/>
                <w:szCs w:val="20"/>
                <w:lang w:val="en-US"/>
              </w:rPr>
            </w:pPr>
            <w:r w:rsidRPr="00DF15F0">
              <w:rPr>
                <w:rFonts w:ascii="Times New Roman" w:hAnsi="Times New Roman" w:cs="Times New Roman"/>
                <w:sz w:val="20"/>
                <w:szCs w:val="20"/>
                <w:lang w:val="en-US"/>
              </w:rPr>
              <w:t xml:space="preserve"> P. Jeno Paul</w:t>
            </w:r>
          </w:p>
        </w:tc>
      </w:tr>
      <w:tr w:rsidR="00C5271A" w14:paraId="3C107BAE" w14:textId="77777777" w:rsidTr="003A3FD4">
        <w:tc>
          <w:tcPr>
            <w:tcW w:w="4508" w:type="dxa"/>
          </w:tcPr>
          <w:p w14:paraId="3D3B9A29" w14:textId="029F3660" w:rsidR="00C5271A" w:rsidRPr="00651B0D" w:rsidRDefault="003045D1" w:rsidP="003A3FD4">
            <w:pPr>
              <w:jc w:val="center"/>
              <w:rPr>
                <w:rFonts w:ascii="Times New Roman" w:hAnsi="Times New Roman" w:cs="Times New Roman"/>
                <w:i/>
                <w:iCs/>
                <w:sz w:val="20"/>
                <w:szCs w:val="20"/>
                <w:lang w:val="en-US"/>
              </w:rPr>
            </w:pPr>
            <w:r>
              <w:rPr>
                <w:rFonts w:ascii="Times New Roman" w:hAnsi="Times New Roman" w:cs="Times New Roman"/>
                <w:i/>
                <w:iCs/>
                <w:sz w:val="20"/>
                <w:szCs w:val="20"/>
                <w:lang w:val="en-US"/>
              </w:rPr>
              <w:t xml:space="preserve">PG Student </w:t>
            </w:r>
          </w:p>
        </w:tc>
        <w:tc>
          <w:tcPr>
            <w:tcW w:w="4508" w:type="dxa"/>
          </w:tcPr>
          <w:p w14:paraId="3295E8CB" w14:textId="2393BBCC" w:rsidR="00C5271A" w:rsidRPr="00651B0D" w:rsidRDefault="00C5271A" w:rsidP="003A3FD4">
            <w:pPr>
              <w:jc w:val="center"/>
              <w:rPr>
                <w:rFonts w:ascii="Times New Roman" w:hAnsi="Times New Roman" w:cs="Times New Roman"/>
                <w:i/>
                <w:iCs/>
                <w:sz w:val="20"/>
                <w:szCs w:val="20"/>
                <w:lang w:val="en-US"/>
              </w:rPr>
            </w:pPr>
            <w:r w:rsidRPr="00651B0D">
              <w:rPr>
                <w:rFonts w:ascii="Times New Roman" w:hAnsi="Times New Roman" w:cs="Times New Roman"/>
                <w:i/>
                <w:iCs/>
                <w:sz w:val="20"/>
                <w:szCs w:val="20"/>
                <w:lang w:val="en-US"/>
              </w:rPr>
              <w:t>Professor</w:t>
            </w:r>
          </w:p>
        </w:tc>
      </w:tr>
      <w:tr w:rsidR="00C5271A" w14:paraId="17804F12" w14:textId="77777777" w:rsidTr="003A3FD4">
        <w:tc>
          <w:tcPr>
            <w:tcW w:w="4508" w:type="dxa"/>
          </w:tcPr>
          <w:p w14:paraId="5F658412" w14:textId="63631F56" w:rsidR="00C5271A" w:rsidRPr="00651B0D" w:rsidRDefault="00C5271A" w:rsidP="003A3FD4">
            <w:pPr>
              <w:jc w:val="center"/>
              <w:rPr>
                <w:rFonts w:ascii="Times New Roman" w:hAnsi="Times New Roman" w:cs="Times New Roman"/>
                <w:i/>
                <w:iCs/>
                <w:sz w:val="20"/>
                <w:szCs w:val="20"/>
                <w:lang w:val="en-US"/>
              </w:rPr>
            </w:pPr>
            <w:r w:rsidRPr="00651B0D">
              <w:rPr>
                <w:rFonts w:ascii="Times New Roman" w:hAnsi="Times New Roman" w:cs="Times New Roman"/>
                <w:i/>
                <w:iCs/>
                <w:sz w:val="20"/>
                <w:szCs w:val="20"/>
                <w:lang w:val="en-US"/>
              </w:rPr>
              <w:t>EEE Dept</w:t>
            </w:r>
          </w:p>
        </w:tc>
        <w:tc>
          <w:tcPr>
            <w:tcW w:w="4508" w:type="dxa"/>
          </w:tcPr>
          <w:p w14:paraId="548899C7" w14:textId="39B65564" w:rsidR="00C5271A" w:rsidRPr="00651B0D" w:rsidRDefault="003A3FD4" w:rsidP="003A3FD4">
            <w:pPr>
              <w:jc w:val="center"/>
              <w:rPr>
                <w:rFonts w:ascii="Times New Roman" w:hAnsi="Times New Roman" w:cs="Times New Roman"/>
                <w:i/>
                <w:iCs/>
                <w:sz w:val="20"/>
                <w:szCs w:val="20"/>
                <w:lang w:val="en-US"/>
              </w:rPr>
            </w:pPr>
            <w:r w:rsidRPr="00651B0D">
              <w:rPr>
                <w:rFonts w:ascii="Times New Roman" w:hAnsi="Times New Roman" w:cs="Times New Roman"/>
                <w:i/>
                <w:iCs/>
                <w:sz w:val="20"/>
                <w:szCs w:val="20"/>
                <w:lang w:val="en-US"/>
              </w:rPr>
              <w:t>EEE Dept</w:t>
            </w:r>
          </w:p>
        </w:tc>
      </w:tr>
      <w:tr w:rsidR="00C5271A" w14:paraId="2B0956FB" w14:textId="77777777" w:rsidTr="003A3FD4">
        <w:tc>
          <w:tcPr>
            <w:tcW w:w="4508" w:type="dxa"/>
          </w:tcPr>
          <w:p w14:paraId="30662EF8" w14:textId="3859EAB3" w:rsidR="00C5271A" w:rsidRPr="003A3FD4" w:rsidRDefault="003A3FD4" w:rsidP="003A3FD4">
            <w:pPr>
              <w:jc w:val="center"/>
              <w:rPr>
                <w:rFonts w:ascii="Times New Roman" w:hAnsi="Times New Roman" w:cs="Times New Roman"/>
                <w:sz w:val="20"/>
                <w:szCs w:val="20"/>
                <w:lang w:val="en-US"/>
              </w:rPr>
            </w:pPr>
            <w:r w:rsidRPr="003A3FD4">
              <w:rPr>
                <w:rFonts w:ascii="Times New Roman" w:hAnsi="Times New Roman" w:cs="Times New Roman"/>
                <w:sz w:val="20"/>
                <w:szCs w:val="20"/>
                <w:lang w:val="en-US"/>
              </w:rPr>
              <w:t>ASIET, Kalady</w:t>
            </w:r>
          </w:p>
        </w:tc>
        <w:tc>
          <w:tcPr>
            <w:tcW w:w="4508" w:type="dxa"/>
          </w:tcPr>
          <w:p w14:paraId="5B24BA3B" w14:textId="06098773" w:rsidR="00C5271A" w:rsidRPr="003A3FD4" w:rsidRDefault="003A3FD4" w:rsidP="003A3FD4">
            <w:pPr>
              <w:jc w:val="center"/>
              <w:rPr>
                <w:rFonts w:ascii="Times New Roman" w:hAnsi="Times New Roman" w:cs="Times New Roman"/>
                <w:sz w:val="20"/>
                <w:szCs w:val="20"/>
                <w:lang w:val="en-US"/>
              </w:rPr>
            </w:pPr>
            <w:r w:rsidRPr="003A3FD4">
              <w:rPr>
                <w:rFonts w:ascii="Times New Roman" w:hAnsi="Times New Roman" w:cs="Times New Roman"/>
                <w:sz w:val="20"/>
                <w:szCs w:val="20"/>
                <w:lang w:val="en-US"/>
              </w:rPr>
              <w:t>ASIET, Kalady</w:t>
            </w:r>
          </w:p>
        </w:tc>
      </w:tr>
      <w:tr w:rsidR="00C5271A" w14:paraId="0802A14C" w14:textId="77777777" w:rsidTr="003A3FD4">
        <w:tc>
          <w:tcPr>
            <w:tcW w:w="4508" w:type="dxa"/>
          </w:tcPr>
          <w:p w14:paraId="205AA417" w14:textId="752420C1" w:rsidR="00C5271A" w:rsidRPr="003A3FD4" w:rsidRDefault="003A3FD4" w:rsidP="003A3FD4">
            <w:pPr>
              <w:jc w:val="center"/>
              <w:rPr>
                <w:rFonts w:ascii="Times New Roman" w:hAnsi="Times New Roman" w:cs="Times New Roman"/>
                <w:sz w:val="20"/>
                <w:szCs w:val="20"/>
                <w:lang w:val="en-US"/>
              </w:rPr>
            </w:pPr>
            <w:r w:rsidRPr="003A3FD4">
              <w:rPr>
                <w:rFonts w:ascii="Times New Roman" w:hAnsi="Times New Roman" w:cs="Times New Roman"/>
                <w:sz w:val="20"/>
                <w:szCs w:val="20"/>
                <w:lang w:val="en-US"/>
              </w:rPr>
              <w:t>likhithasshenoi@gmail.com</w:t>
            </w:r>
          </w:p>
        </w:tc>
        <w:tc>
          <w:tcPr>
            <w:tcW w:w="4508" w:type="dxa"/>
          </w:tcPr>
          <w:p w14:paraId="5055D614" w14:textId="676FCCEF" w:rsidR="00C5271A" w:rsidRPr="003A3FD4" w:rsidRDefault="00B93682" w:rsidP="003A3FD4">
            <w:pPr>
              <w:jc w:val="center"/>
              <w:rPr>
                <w:rFonts w:ascii="Times New Roman" w:hAnsi="Times New Roman" w:cs="Times New Roman"/>
                <w:sz w:val="20"/>
                <w:szCs w:val="20"/>
                <w:lang w:val="en-US"/>
              </w:rPr>
            </w:pPr>
            <w:r>
              <w:rPr>
                <w:rFonts w:ascii="Times New Roman" w:hAnsi="Times New Roman" w:cs="Times New Roman"/>
                <w:sz w:val="20"/>
                <w:szCs w:val="20"/>
                <w:lang w:val="en-US"/>
              </w:rPr>
              <w:t>j</w:t>
            </w:r>
            <w:r w:rsidR="003A3FD4" w:rsidRPr="003A3FD4">
              <w:rPr>
                <w:rFonts w:ascii="Times New Roman" w:hAnsi="Times New Roman" w:cs="Times New Roman"/>
                <w:sz w:val="20"/>
                <w:szCs w:val="20"/>
                <w:lang w:val="en-US"/>
              </w:rPr>
              <w:t>eno.eee@adishankara.ac.in</w:t>
            </w:r>
          </w:p>
        </w:tc>
      </w:tr>
    </w:tbl>
    <w:p w14:paraId="4FFB1FBA" w14:textId="77777777" w:rsidR="00C5271A" w:rsidRDefault="00C5271A" w:rsidP="00006A66">
      <w:pPr>
        <w:jc w:val="both"/>
        <w:rPr>
          <w:rFonts w:ascii="Times New Roman" w:hAnsi="Times New Roman" w:cs="Times New Roman"/>
          <w:b/>
          <w:bCs/>
          <w:sz w:val="20"/>
          <w:szCs w:val="20"/>
          <w:lang w:val="en-US"/>
        </w:rPr>
        <w:sectPr w:rsidR="00C5271A">
          <w:pgSz w:w="11906" w:h="16838"/>
          <w:pgMar w:top="1440" w:right="1440" w:bottom="1440" w:left="1440" w:header="708" w:footer="708" w:gutter="0"/>
          <w:cols w:space="708"/>
          <w:docGrid w:linePitch="360"/>
        </w:sectPr>
      </w:pPr>
    </w:p>
    <w:p w14:paraId="494D0C91" w14:textId="77777777" w:rsidR="003A3FD4" w:rsidRDefault="003A3FD4" w:rsidP="00C5271A">
      <w:pPr>
        <w:rPr>
          <w:rFonts w:ascii="Times New Roman" w:hAnsi="Times New Roman" w:cs="Times New Roman"/>
          <w:b/>
          <w:bCs/>
          <w:sz w:val="20"/>
          <w:szCs w:val="20"/>
          <w:lang w:val="en-US"/>
        </w:rPr>
        <w:sectPr w:rsidR="003A3FD4" w:rsidSect="00006A66">
          <w:type w:val="continuous"/>
          <w:pgSz w:w="11906" w:h="16838"/>
          <w:pgMar w:top="1440" w:right="1440" w:bottom="1440" w:left="1440" w:header="708" w:footer="708" w:gutter="0"/>
          <w:cols w:num="2" w:space="708"/>
          <w:docGrid w:linePitch="360"/>
        </w:sectPr>
      </w:pPr>
    </w:p>
    <w:p w14:paraId="4AB7DC92" w14:textId="10FE13B1" w:rsidR="004150BF" w:rsidRDefault="003A3FD4" w:rsidP="007E146C">
      <w:pPr>
        <w:spacing w:line="240" w:lineRule="auto"/>
        <w:jc w:val="both"/>
        <w:rPr>
          <w:rFonts w:ascii="Times New Roman" w:hAnsi="Times New Roman" w:cs="Times New Roman"/>
          <w:b/>
          <w:bCs/>
          <w:sz w:val="20"/>
          <w:szCs w:val="20"/>
        </w:rPr>
      </w:pPr>
      <w:r>
        <w:rPr>
          <w:rFonts w:ascii="Times New Roman" w:hAnsi="Times New Roman" w:cs="Times New Roman"/>
          <w:b/>
          <w:bCs/>
          <w:sz w:val="20"/>
          <w:szCs w:val="20"/>
          <w:lang w:val="en-US"/>
        </w:rPr>
        <w:t>ABSTRACT:</w:t>
      </w:r>
      <w:r w:rsidR="003C3537">
        <w:rPr>
          <w:rFonts w:ascii="Times New Roman" w:hAnsi="Times New Roman" w:cs="Times New Roman"/>
          <w:b/>
          <w:bCs/>
          <w:sz w:val="20"/>
          <w:szCs w:val="20"/>
          <w:lang w:val="en-US"/>
        </w:rPr>
        <w:t xml:space="preserve"> </w:t>
      </w:r>
      <w:r w:rsidR="003C3537">
        <w:rPr>
          <w:rFonts w:ascii="Times New Roman" w:hAnsi="Times New Roman" w:cs="Times New Roman"/>
          <w:b/>
          <w:bCs/>
          <w:sz w:val="20"/>
          <w:szCs w:val="20"/>
        </w:rPr>
        <w:t>Small scale microgrids are increasingly being used for localized energy generation, distribution, and consumption</w:t>
      </w:r>
      <w:r w:rsidR="00060A7C" w:rsidRPr="000F2839">
        <w:rPr>
          <w:rFonts w:ascii="Times New Roman" w:hAnsi="Times New Roman" w:cs="Times New Roman"/>
          <w:b/>
          <w:bCs/>
          <w:sz w:val="20"/>
          <w:szCs w:val="20"/>
        </w:rPr>
        <w:t>.</w:t>
      </w:r>
      <w:r w:rsidR="003C3537">
        <w:rPr>
          <w:rFonts w:ascii="Times New Roman" w:hAnsi="Times New Roman" w:cs="Times New Roman"/>
          <w:b/>
          <w:bCs/>
          <w:sz w:val="20"/>
          <w:szCs w:val="20"/>
        </w:rPr>
        <w:t xml:space="preserve"> They offer benefits such as increased reliability, resilience, and the integration of energy sources. Common applications include powering remote communities, industrial facilities, or even individual homes with a mix of solar panels, wind turbines, and energy storage system.  This microgrid can operate independently or connect to main grid, providing flexibility and optimizing energy use in specific areas. </w:t>
      </w:r>
      <w:r w:rsidR="0022431A" w:rsidRPr="000F2839">
        <w:rPr>
          <w:rFonts w:ascii="Times New Roman" w:hAnsi="Times New Roman" w:cs="Times New Roman"/>
          <w:b/>
          <w:bCs/>
          <w:sz w:val="20"/>
          <w:szCs w:val="20"/>
        </w:rPr>
        <w:t>This paper presents into the advancements and challenges in energy storage systems (ESS), offering a comprehensive analysis of diverse technologies, including batteries, capacitors, and emerging alternatives. It</w:t>
      </w:r>
      <w:r w:rsidR="003C3537">
        <w:rPr>
          <w:rFonts w:ascii="Times New Roman" w:hAnsi="Times New Roman" w:cs="Times New Roman"/>
          <w:b/>
          <w:bCs/>
          <w:sz w:val="20"/>
          <w:szCs w:val="20"/>
        </w:rPr>
        <w:t xml:space="preserve"> </w:t>
      </w:r>
      <w:r w:rsidR="0022431A" w:rsidRPr="000F2839">
        <w:rPr>
          <w:rFonts w:ascii="Times New Roman" w:hAnsi="Times New Roman" w:cs="Times New Roman"/>
          <w:b/>
          <w:bCs/>
          <w:sz w:val="20"/>
          <w:szCs w:val="20"/>
        </w:rPr>
        <w:t>surveys the application landscape, emphasizing ESS contributions to renewable energy integration, grid stability, and peak load management. Th</w:t>
      </w:r>
      <w:r w:rsidR="000F2839" w:rsidRPr="000F2839">
        <w:rPr>
          <w:rFonts w:ascii="Times New Roman" w:hAnsi="Times New Roman" w:cs="Times New Roman"/>
          <w:b/>
          <w:bCs/>
          <w:sz w:val="20"/>
          <w:szCs w:val="20"/>
        </w:rPr>
        <w:t>is review</w:t>
      </w:r>
      <w:r w:rsidR="0022431A" w:rsidRPr="000F2839">
        <w:rPr>
          <w:rFonts w:ascii="Times New Roman" w:hAnsi="Times New Roman" w:cs="Times New Roman"/>
          <w:b/>
          <w:bCs/>
          <w:sz w:val="20"/>
          <w:szCs w:val="20"/>
        </w:rPr>
        <w:t xml:space="preserve"> paper critically evaluates efficiency, cost-effectiveness, and environmental implications, exploring innovative solutions and emerging technologies. By synthesizing current research, this review provides valuable insights into optimizing ESS for a sustainable and resilient energy future.</w:t>
      </w:r>
    </w:p>
    <w:p w14:paraId="00E42EE7" w14:textId="68DD5F2E" w:rsidR="00BB1429" w:rsidRDefault="00BB1429" w:rsidP="00111735">
      <w:pPr>
        <w:spacing w:line="240" w:lineRule="auto"/>
        <w:jc w:val="both"/>
        <w:rPr>
          <w:rFonts w:ascii="Times New Roman" w:hAnsi="Times New Roman" w:cs="Times New Roman"/>
          <w:b/>
          <w:bCs/>
          <w:sz w:val="20"/>
          <w:szCs w:val="20"/>
        </w:rPr>
      </w:pPr>
      <w:r>
        <w:rPr>
          <w:rFonts w:ascii="Times New Roman" w:hAnsi="Times New Roman" w:cs="Times New Roman"/>
          <w:b/>
          <w:bCs/>
          <w:sz w:val="20"/>
          <w:szCs w:val="20"/>
        </w:rPr>
        <w:t>Keywords: Energy storage system,</w:t>
      </w:r>
      <w:r w:rsidR="00A73962">
        <w:rPr>
          <w:rFonts w:ascii="Times New Roman" w:hAnsi="Times New Roman" w:cs="Times New Roman"/>
          <w:b/>
          <w:bCs/>
          <w:sz w:val="20"/>
          <w:szCs w:val="20"/>
        </w:rPr>
        <w:t xml:space="preserve"> wind power forecasting</w:t>
      </w:r>
      <w:r w:rsidR="00E9629E">
        <w:rPr>
          <w:rFonts w:ascii="Times New Roman" w:hAnsi="Times New Roman" w:cs="Times New Roman"/>
          <w:b/>
          <w:bCs/>
          <w:sz w:val="20"/>
          <w:szCs w:val="20"/>
        </w:rPr>
        <w:t>,</w:t>
      </w:r>
      <w:r w:rsidR="00A73962">
        <w:rPr>
          <w:rFonts w:ascii="Times New Roman" w:hAnsi="Times New Roman" w:cs="Times New Roman"/>
          <w:b/>
          <w:bCs/>
          <w:sz w:val="20"/>
          <w:szCs w:val="20"/>
        </w:rPr>
        <w:t xml:space="preserve"> Efficiency</w:t>
      </w:r>
      <w:r w:rsidR="00F605C2">
        <w:rPr>
          <w:rFonts w:ascii="Times New Roman" w:hAnsi="Times New Roman" w:cs="Times New Roman"/>
          <w:b/>
          <w:bCs/>
          <w:sz w:val="20"/>
          <w:szCs w:val="20"/>
        </w:rPr>
        <w:t xml:space="preserve">, optimization, flexibility, </w:t>
      </w:r>
      <w:r w:rsidR="00B53117">
        <w:rPr>
          <w:rFonts w:ascii="Times New Roman" w:hAnsi="Times New Roman" w:cs="Times New Roman"/>
          <w:b/>
          <w:bCs/>
          <w:sz w:val="20"/>
          <w:szCs w:val="20"/>
        </w:rPr>
        <w:t xml:space="preserve"> power grid.</w:t>
      </w:r>
    </w:p>
    <w:p w14:paraId="425241DF" w14:textId="001C1C50" w:rsidR="00BB1429" w:rsidRDefault="004E3579" w:rsidP="00E9629E">
      <w:pPr>
        <w:spacing w:line="360" w:lineRule="auto"/>
        <w:jc w:val="center"/>
        <w:rPr>
          <w:rFonts w:ascii="Times New Roman" w:hAnsi="Times New Roman" w:cs="Times New Roman"/>
          <w:b/>
          <w:bCs/>
          <w:sz w:val="20"/>
          <w:szCs w:val="20"/>
        </w:rPr>
      </w:pPr>
      <w:r w:rsidRPr="00BB1429">
        <w:rPr>
          <w:rFonts w:ascii="Times New Roman" w:hAnsi="Times New Roman" w:cs="Times New Roman"/>
          <w:b/>
          <w:bCs/>
          <w:sz w:val="20"/>
          <w:szCs w:val="20"/>
        </w:rPr>
        <w:t>INTRODUCTION</w:t>
      </w:r>
    </w:p>
    <w:p w14:paraId="72968DDA" w14:textId="23855BA6" w:rsidR="004E3579" w:rsidRPr="00BB1429" w:rsidRDefault="00524BDF" w:rsidP="00BB1429">
      <w:pPr>
        <w:spacing w:line="240" w:lineRule="auto"/>
        <w:jc w:val="both"/>
        <w:rPr>
          <w:rFonts w:ascii="Times New Roman" w:hAnsi="Times New Roman" w:cs="Times New Roman"/>
          <w:b/>
          <w:bCs/>
          <w:sz w:val="20"/>
          <w:szCs w:val="20"/>
        </w:rPr>
      </w:pPr>
      <w:r w:rsidRPr="00524BDF">
        <w:rPr>
          <w:rFonts w:ascii="Times New Roman" w:hAnsi="Times New Roman" w:cs="Times New Roman"/>
          <w:sz w:val="20"/>
          <w:szCs w:val="20"/>
        </w:rPr>
        <w:t>Capturing energy created at one moment to be used at a later time is known as energy storage. It is essential for maintaining power grid stability, integrating renewable energy sources, and balancing supply and demand. Converting energy from forms that are challenging to store into forms that are easier or more cost-effective to store is known as energy storage. Manufacturing, the service sector, the future renewable energy sector, and all of the portable electronics that people have become fixated on depend heavily on energy storage</w:t>
      </w:r>
      <w:r w:rsidR="00A04E0A">
        <w:rPr>
          <w:rFonts w:ascii="Times New Roman" w:hAnsi="Times New Roman" w:cs="Times New Roman"/>
          <w:sz w:val="20"/>
          <w:szCs w:val="20"/>
        </w:rPr>
        <w:t xml:space="preserve"> [1]. </w:t>
      </w:r>
      <w:r>
        <w:rPr>
          <w:rFonts w:ascii="Times New Roman" w:hAnsi="Times New Roman" w:cs="Times New Roman"/>
          <w:sz w:val="20"/>
          <w:szCs w:val="20"/>
        </w:rPr>
        <w:t xml:space="preserve"> </w:t>
      </w:r>
      <w:r w:rsidRPr="00524BDF">
        <w:rPr>
          <w:rFonts w:ascii="Times New Roman" w:hAnsi="Times New Roman" w:cs="Times New Roman"/>
          <w:sz w:val="20"/>
          <w:szCs w:val="20"/>
        </w:rPr>
        <w:t xml:space="preserve">An essential </w:t>
      </w:r>
      <w:r w:rsidRPr="00524BDF">
        <w:rPr>
          <w:rFonts w:ascii="Times New Roman" w:hAnsi="Times New Roman" w:cs="Times New Roman"/>
          <w:sz w:val="20"/>
          <w:szCs w:val="20"/>
        </w:rPr>
        <w:t>and significant contribution to the development of contemporary energy storage technology was made by lithium-ion batteries. While some technologies can store energy for a short while, others can do it for much longer. Currently, conventional and pumped hydroelectric dams are the main source of bulk energy storage. A group of techniques used to store energy on a wide scale inside an electrical power grid is known as grid energy storage. By storing and releasing electricity produced during times of low demand, energy storage systems (ESS) can increase the resilience and efficiency of the energy infrastructure</w:t>
      </w:r>
      <w:r w:rsidR="00942317">
        <w:rPr>
          <w:rFonts w:ascii="Times New Roman" w:hAnsi="Times New Roman" w:cs="Times New Roman"/>
          <w:sz w:val="20"/>
          <w:szCs w:val="20"/>
        </w:rPr>
        <w:t xml:space="preserve"> [1]</w:t>
      </w:r>
      <w:r w:rsidRPr="00524BDF">
        <w:rPr>
          <w:rFonts w:ascii="Times New Roman" w:hAnsi="Times New Roman" w:cs="Times New Roman"/>
          <w:sz w:val="20"/>
          <w:szCs w:val="20"/>
        </w:rPr>
        <w:t xml:space="preserve">. Numerous technologies, including thermal storage, pumped hydro storage, and batteries, are used to create a variety of sustainable energy storage options. MG is composed of heterogeneously distributed components that are connected or separated, including energy storage systems (ESS) and distributed storage management functions like automation, control, and monitoring. The supporting design of distributed energy sources (DER) close to the cargo virtually eliminates transmission losses. </w:t>
      </w:r>
      <w:r w:rsidR="00A04E0A">
        <w:rPr>
          <w:rFonts w:ascii="Times New Roman" w:hAnsi="Times New Roman" w:cs="Times New Roman"/>
          <w:sz w:val="20"/>
          <w:szCs w:val="20"/>
        </w:rPr>
        <w:t xml:space="preserve"> </w:t>
      </w:r>
      <w:r w:rsidRPr="00524BDF">
        <w:rPr>
          <w:rFonts w:ascii="Times New Roman" w:hAnsi="Times New Roman" w:cs="Times New Roman"/>
          <w:sz w:val="20"/>
          <w:szCs w:val="20"/>
        </w:rPr>
        <w:t>ESSs are categorized differently depending on the study. For example, depending on the way in which the energy is stored, thermal, mechanical, and electrical energy storage</w:t>
      </w:r>
      <w:r>
        <w:rPr>
          <w:rFonts w:ascii="Times New Roman" w:hAnsi="Times New Roman" w:cs="Times New Roman"/>
          <w:sz w:val="20"/>
          <w:szCs w:val="20"/>
        </w:rPr>
        <w:t>.</w:t>
      </w:r>
      <w:r w:rsidR="00A04E0A">
        <w:rPr>
          <w:rFonts w:ascii="Times New Roman" w:hAnsi="Times New Roman" w:cs="Times New Roman"/>
          <w:sz w:val="20"/>
          <w:szCs w:val="20"/>
        </w:rPr>
        <w:t xml:space="preserve"> [1]</w:t>
      </w:r>
    </w:p>
    <w:p w14:paraId="17D8BCEE" w14:textId="66DAA18A" w:rsidR="004E3579" w:rsidRDefault="005D68BD" w:rsidP="002F166E">
      <w:pPr>
        <w:spacing w:line="360" w:lineRule="auto"/>
        <w:jc w:val="both"/>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6C74263D" wp14:editId="7627E635">
            <wp:extent cx="2781300" cy="1752600"/>
            <wp:effectExtent l="0" t="19050" r="19050" b="38100"/>
            <wp:docPr id="51582374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CE896C8" w14:textId="4BF27B1A" w:rsidR="005D68BD" w:rsidRDefault="005D68BD" w:rsidP="002F166E">
      <w:pPr>
        <w:spacing w:line="360" w:lineRule="auto"/>
        <w:jc w:val="both"/>
        <w:rPr>
          <w:rFonts w:ascii="Times New Roman" w:hAnsi="Times New Roman" w:cs="Times New Roman"/>
          <w:sz w:val="20"/>
          <w:szCs w:val="20"/>
        </w:rPr>
      </w:pPr>
      <w:r>
        <w:rPr>
          <w:rFonts w:ascii="Times New Roman" w:hAnsi="Times New Roman" w:cs="Times New Roman"/>
          <w:b/>
          <w:bCs/>
          <w:sz w:val="20"/>
          <w:szCs w:val="20"/>
        </w:rPr>
        <w:t xml:space="preserve">Fig 1: </w:t>
      </w:r>
      <w:r w:rsidRPr="005D68BD">
        <w:rPr>
          <w:rFonts w:ascii="Times New Roman" w:hAnsi="Times New Roman" w:cs="Times New Roman"/>
          <w:sz w:val="20"/>
          <w:szCs w:val="20"/>
        </w:rPr>
        <w:t>Different Classifications of energy storage system</w:t>
      </w:r>
      <w:r w:rsidR="007D6142">
        <w:rPr>
          <w:rFonts w:ascii="Times New Roman" w:hAnsi="Times New Roman" w:cs="Times New Roman"/>
          <w:sz w:val="20"/>
          <w:szCs w:val="20"/>
        </w:rPr>
        <w:t>.</w:t>
      </w:r>
    </w:p>
    <w:p w14:paraId="6C0AD666" w14:textId="402376E8" w:rsidR="00397452" w:rsidRDefault="00524BDF" w:rsidP="0061493D">
      <w:pPr>
        <w:spacing w:line="240" w:lineRule="auto"/>
        <w:jc w:val="both"/>
        <w:rPr>
          <w:rFonts w:ascii="Times New Roman" w:hAnsi="Times New Roman" w:cs="Times New Roman"/>
          <w:sz w:val="20"/>
          <w:szCs w:val="20"/>
        </w:rPr>
      </w:pPr>
      <w:r w:rsidRPr="00524BDF">
        <w:rPr>
          <w:rFonts w:ascii="Times New Roman" w:hAnsi="Times New Roman" w:cs="Times New Roman"/>
          <w:sz w:val="20"/>
          <w:szCs w:val="20"/>
        </w:rPr>
        <w:lastRenderedPageBreak/>
        <w:t>The main purpose of ESS is to gather energy from multiple sources, convert it, and store it for later use. Many authors have reviewed ESSs from different perspectives in the literature due to the wide variety of ESSs that are available with different uses. One of the most important pillars in our road towards a more robust and sustainable energy future is the development of energy storage systems. This study compares the utilization of shared electric heat energy storage with the scenario where each home has its own distributed thermal energy storage when the community's solar PV power is utilized for thermal energy generation and storage. Next, various-sized thermal storage units are tested so that the community can determine which one is the best fit</w:t>
      </w:r>
      <w:r w:rsidR="007C046A">
        <w:rPr>
          <w:rFonts w:ascii="Times New Roman" w:hAnsi="Times New Roman" w:cs="Times New Roman"/>
          <w:sz w:val="20"/>
          <w:szCs w:val="20"/>
        </w:rPr>
        <w:t xml:space="preserve">. </w:t>
      </w:r>
    </w:p>
    <w:p w14:paraId="43217238" w14:textId="77777777" w:rsidR="00A73962" w:rsidRDefault="00A73962" w:rsidP="00DD18AF">
      <w:pPr>
        <w:spacing w:line="240" w:lineRule="auto"/>
        <w:jc w:val="center"/>
        <w:rPr>
          <w:rFonts w:ascii="Times New Roman" w:hAnsi="Times New Roman" w:cs="Times New Roman"/>
          <w:b/>
          <w:bCs/>
          <w:sz w:val="20"/>
          <w:szCs w:val="20"/>
        </w:rPr>
      </w:pPr>
    </w:p>
    <w:p w14:paraId="08887F0D" w14:textId="3A6155B2" w:rsidR="007C046A" w:rsidRDefault="007C046A" w:rsidP="00DD18AF">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I. </w:t>
      </w:r>
      <w:r w:rsidRPr="007C046A">
        <w:rPr>
          <w:rFonts w:ascii="Times New Roman" w:hAnsi="Times New Roman" w:cs="Times New Roman"/>
          <w:b/>
          <w:bCs/>
          <w:sz w:val="20"/>
          <w:szCs w:val="20"/>
        </w:rPr>
        <w:t>WIND FARM WITH A MULTIPLE STAGE HYBRID ENERGY STORAGE SYSTEM</w:t>
      </w:r>
    </w:p>
    <w:p w14:paraId="11ADAA27" w14:textId="1BD9360D" w:rsidR="007B5BC4" w:rsidRDefault="00524BDF" w:rsidP="00DD18AF">
      <w:pPr>
        <w:spacing w:line="240" w:lineRule="auto"/>
        <w:jc w:val="both"/>
        <w:rPr>
          <w:rFonts w:ascii="Times New Roman" w:hAnsi="Times New Roman" w:cs="Times New Roman"/>
          <w:color w:val="000000" w:themeColor="text1"/>
          <w:sz w:val="20"/>
          <w:szCs w:val="20"/>
        </w:rPr>
      </w:pPr>
      <w:r w:rsidRPr="00524BDF">
        <w:rPr>
          <w:rFonts w:ascii="Times New Roman" w:hAnsi="Times New Roman" w:cs="Times New Roman"/>
          <w:sz w:val="20"/>
          <w:szCs w:val="20"/>
        </w:rPr>
        <w:t>Over the past few decades, the production of wind power has grown significantly due to concerns about environmental pollution and the scarcity of fossil fuels. The Global Wind Energy Council (GWEC) report states that 60 GW of new wind power systems were put into place in 2015</w:t>
      </w:r>
      <w:r w:rsidR="00942317">
        <w:rPr>
          <w:rFonts w:ascii="Times New Roman" w:hAnsi="Times New Roman" w:cs="Times New Roman"/>
          <w:sz w:val="20"/>
          <w:szCs w:val="20"/>
        </w:rPr>
        <w:t xml:space="preserve"> [2]</w:t>
      </w:r>
      <w:r w:rsidRPr="00524BDF">
        <w:rPr>
          <w:rFonts w:ascii="Times New Roman" w:hAnsi="Times New Roman" w:cs="Times New Roman"/>
          <w:sz w:val="20"/>
          <w:szCs w:val="20"/>
        </w:rPr>
        <w:t>. The market for electric power is becoming increasingly interested in wind resources due to their inherent advantage of low marginal cost. But wind's erratic and sporadic behavior not only leads to significant stability and reliability issues, but it also makes wind energy less competitive in the market for electric power.  In order to optimize the cooperative performance of wind-energy systems, multiple designs and control schemes have been examined from multiple angles, including energy dispatching, power quality control, and ESS sizing</w:t>
      </w:r>
      <w:r w:rsidR="00A04E0A">
        <w:rPr>
          <w:rFonts w:ascii="Times New Roman" w:hAnsi="Times New Roman" w:cs="Times New Roman"/>
          <w:sz w:val="20"/>
          <w:szCs w:val="20"/>
        </w:rPr>
        <w:t xml:space="preserve"> </w:t>
      </w:r>
      <w:r w:rsidRPr="00524BDF">
        <w:rPr>
          <w:rFonts w:ascii="Times New Roman" w:hAnsi="Times New Roman" w:cs="Times New Roman"/>
          <w:sz w:val="20"/>
          <w:szCs w:val="20"/>
        </w:rPr>
        <w:t>optimization</w:t>
      </w:r>
      <w:r w:rsidR="00A04E0A">
        <w:rPr>
          <w:rFonts w:ascii="Times New Roman" w:hAnsi="Times New Roman" w:cs="Times New Roman"/>
          <w:sz w:val="20"/>
          <w:szCs w:val="20"/>
        </w:rPr>
        <w:t>.</w:t>
      </w:r>
    </w:p>
    <w:p w14:paraId="765E1379" w14:textId="56E32EE4" w:rsidR="00C14D46" w:rsidRDefault="00C14D46" w:rsidP="0065227B">
      <w:pPr>
        <w:spacing w:line="240" w:lineRule="auto"/>
        <w:jc w:val="center"/>
        <w:rPr>
          <w:rFonts w:ascii="Times New Roman" w:hAnsi="Times New Roman" w:cs="Times New Roman"/>
          <w:b/>
          <w:bCs/>
          <w:i/>
          <w:iCs/>
          <w:color w:val="000000" w:themeColor="text1"/>
          <w:sz w:val="20"/>
          <w:szCs w:val="20"/>
        </w:rPr>
      </w:pPr>
      <w:r w:rsidRPr="003C3537">
        <w:rPr>
          <w:rFonts w:ascii="Times New Roman" w:hAnsi="Times New Roman" w:cs="Times New Roman"/>
          <w:b/>
          <w:bCs/>
          <w:i/>
          <w:iCs/>
          <w:color w:val="000000" w:themeColor="text1"/>
          <w:sz w:val="20"/>
          <w:szCs w:val="20"/>
        </w:rPr>
        <w:t>A. Wind power forecasting</w:t>
      </w:r>
    </w:p>
    <w:p w14:paraId="1EB7FD44" w14:textId="7857B01E" w:rsidR="00DF520B" w:rsidRDefault="00DF520B" w:rsidP="00DF520B">
      <w:pPr>
        <w:spacing w:line="240" w:lineRule="auto"/>
        <w:jc w:val="both"/>
        <w:rPr>
          <w:rFonts w:ascii="Times New Roman" w:hAnsi="Times New Roman" w:cs="Times New Roman"/>
          <w:color w:val="000000" w:themeColor="text1"/>
          <w:sz w:val="20"/>
          <w:szCs w:val="20"/>
        </w:rPr>
      </w:pPr>
      <w:r w:rsidRPr="00DF520B">
        <w:rPr>
          <w:rFonts w:ascii="Times New Roman" w:hAnsi="Times New Roman" w:cs="Times New Roman"/>
          <w:color w:val="000000" w:themeColor="text1"/>
          <w:sz w:val="20"/>
          <w:szCs w:val="20"/>
        </w:rPr>
        <w:t>It involves making an estimate of how much power wind turbines will produce at a specific location and time. To forecast future wind power generation, meteorological data</w:t>
      </w:r>
      <w:r w:rsidR="005752E7">
        <w:rPr>
          <w:rFonts w:ascii="Times New Roman" w:hAnsi="Times New Roman" w:cs="Times New Roman"/>
          <w:color w:val="000000" w:themeColor="text1"/>
          <w:sz w:val="20"/>
          <w:szCs w:val="20"/>
        </w:rPr>
        <w:t xml:space="preserve"> </w:t>
      </w:r>
      <w:r w:rsidRPr="00DF520B">
        <w:rPr>
          <w:rFonts w:ascii="Times New Roman" w:hAnsi="Times New Roman" w:cs="Times New Roman"/>
          <w:color w:val="000000" w:themeColor="text1"/>
          <w:sz w:val="20"/>
          <w:szCs w:val="20"/>
        </w:rPr>
        <w:t>such as wind direction and speed</w:t>
      </w:r>
      <w:r w:rsidR="005752E7">
        <w:rPr>
          <w:rFonts w:ascii="Times New Roman" w:hAnsi="Times New Roman" w:cs="Times New Roman"/>
          <w:color w:val="000000" w:themeColor="text1"/>
          <w:sz w:val="20"/>
          <w:szCs w:val="20"/>
        </w:rPr>
        <w:t xml:space="preserve"> </w:t>
      </w:r>
      <w:r w:rsidRPr="00DF520B">
        <w:rPr>
          <w:rFonts w:ascii="Times New Roman" w:hAnsi="Times New Roman" w:cs="Times New Roman"/>
          <w:color w:val="000000" w:themeColor="text1"/>
          <w:sz w:val="20"/>
          <w:szCs w:val="20"/>
        </w:rPr>
        <w:t>are analy</w:t>
      </w:r>
      <w:r>
        <w:rPr>
          <w:rFonts w:ascii="Times New Roman" w:hAnsi="Times New Roman" w:cs="Times New Roman"/>
          <w:color w:val="000000" w:themeColor="text1"/>
          <w:sz w:val="20"/>
          <w:szCs w:val="20"/>
        </w:rPr>
        <w:t>s</w:t>
      </w:r>
      <w:r w:rsidRPr="00DF520B">
        <w:rPr>
          <w:rFonts w:ascii="Times New Roman" w:hAnsi="Times New Roman" w:cs="Times New Roman"/>
          <w:color w:val="000000" w:themeColor="text1"/>
          <w:sz w:val="20"/>
          <w:szCs w:val="20"/>
        </w:rPr>
        <w:t>ed. Precise prediction enhances overall dependability and efficiency by assisting grid operators in better managing the wind energy's integration into the power system. To anticipate wind power, a variety of methods are employed, such as machine learning algorithms and numerical weather prediction models</w:t>
      </w:r>
      <w:r w:rsidR="00931603">
        <w:rPr>
          <w:rFonts w:ascii="Times New Roman" w:hAnsi="Times New Roman" w:cs="Times New Roman"/>
          <w:color w:val="000000" w:themeColor="text1"/>
          <w:sz w:val="20"/>
          <w:szCs w:val="20"/>
        </w:rPr>
        <w:t xml:space="preserve"> [2]</w:t>
      </w:r>
      <w:r w:rsidRPr="00DF520B">
        <w:rPr>
          <w:rFonts w:ascii="Times New Roman" w:hAnsi="Times New Roman" w:cs="Times New Roman"/>
          <w:color w:val="000000" w:themeColor="text1"/>
          <w:sz w:val="20"/>
          <w:szCs w:val="20"/>
        </w:rPr>
        <w:t>.</w:t>
      </w:r>
    </w:p>
    <w:p w14:paraId="5565E209" w14:textId="77777777" w:rsidR="00F45554" w:rsidRDefault="00F45554" w:rsidP="00DF520B">
      <w:pPr>
        <w:spacing w:line="240" w:lineRule="auto"/>
        <w:jc w:val="both"/>
        <w:rPr>
          <w:rFonts w:ascii="Times New Roman" w:hAnsi="Times New Roman" w:cs="Times New Roman"/>
          <w:color w:val="000000" w:themeColor="text1"/>
          <w:sz w:val="20"/>
          <w:szCs w:val="20"/>
        </w:rPr>
      </w:pPr>
    </w:p>
    <w:p w14:paraId="5604C248" w14:textId="77777777" w:rsidR="00824A5A" w:rsidRPr="00DF520B" w:rsidRDefault="00824A5A" w:rsidP="00DF520B">
      <w:pPr>
        <w:spacing w:line="240" w:lineRule="auto"/>
        <w:jc w:val="both"/>
        <w:rPr>
          <w:rFonts w:ascii="Times New Roman" w:hAnsi="Times New Roman" w:cs="Times New Roman"/>
          <w:color w:val="000000" w:themeColor="text1"/>
          <w:sz w:val="20"/>
          <w:szCs w:val="20"/>
        </w:rPr>
      </w:pPr>
    </w:p>
    <w:p w14:paraId="142E4AB7" w14:textId="28791C5A" w:rsidR="0065227B" w:rsidRDefault="00F07CEE" w:rsidP="00DD18AF">
      <w:pPr>
        <w:spacing w:line="240" w:lineRule="auto"/>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w:drawing>
          <wp:inline distT="0" distB="0" distL="0" distR="0" wp14:anchorId="22B4FB2B" wp14:editId="210B376D">
            <wp:extent cx="2428875" cy="1876460"/>
            <wp:effectExtent l="0" t="0" r="0" b="9525"/>
            <wp:docPr id="9771084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7955" cy="1883475"/>
                    </a:xfrm>
                    <a:prstGeom prst="rect">
                      <a:avLst/>
                    </a:prstGeom>
                    <a:noFill/>
                    <a:ln>
                      <a:noFill/>
                    </a:ln>
                  </pic:spPr>
                </pic:pic>
              </a:graphicData>
            </a:graphic>
          </wp:inline>
        </w:drawing>
      </w:r>
    </w:p>
    <w:p w14:paraId="37E072E4" w14:textId="42DAEDA3" w:rsidR="0065227B" w:rsidRDefault="00F07CEE" w:rsidP="00A04E0A">
      <w:pPr>
        <w:spacing w:line="240" w:lineRule="auto"/>
        <w:jc w:val="both"/>
        <w:rPr>
          <w:rFonts w:ascii="Times New Roman" w:hAnsi="Times New Roman" w:cs="Times New Roman"/>
          <w:color w:val="000000" w:themeColor="text1"/>
          <w:sz w:val="20"/>
          <w:szCs w:val="20"/>
        </w:rPr>
      </w:pPr>
      <w:r w:rsidRPr="00F07CEE">
        <w:rPr>
          <w:rFonts w:ascii="Times New Roman" w:hAnsi="Times New Roman" w:cs="Times New Roman"/>
          <w:b/>
          <w:bCs/>
          <w:color w:val="000000" w:themeColor="text1"/>
          <w:sz w:val="20"/>
          <w:szCs w:val="20"/>
        </w:rPr>
        <w:t>Fig 2:</w:t>
      </w:r>
      <w:r>
        <w:rPr>
          <w:rFonts w:ascii="Times New Roman" w:hAnsi="Times New Roman" w:cs="Times New Roman"/>
          <w:color w:val="000000" w:themeColor="text1"/>
          <w:sz w:val="20"/>
          <w:szCs w:val="20"/>
        </w:rPr>
        <w:t xml:space="preserve"> Forecast and actual wind power</w:t>
      </w:r>
      <w:r w:rsidR="00824A5A">
        <w:rPr>
          <w:rFonts w:ascii="Times New Roman" w:hAnsi="Times New Roman" w:cs="Times New Roman"/>
          <w:color w:val="000000" w:themeColor="text1"/>
          <w:sz w:val="20"/>
          <w:szCs w:val="20"/>
        </w:rPr>
        <w:t xml:space="preserve"> on May 18</w:t>
      </w:r>
      <w:r w:rsidR="00824A5A" w:rsidRPr="00A04E0A">
        <w:rPr>
          <w:rFonts w:ascii="Times New Roman" w:hAnsi="Times New Roman" w:cs="Times New Roman"/>
          <w:color w:val="000000" w:themeColor="text1"/>
          <w:sz w:val="20"/>
          <w:szCs w:val="20"/>
          <w:vertAlign w:val="superscript"/>
        </w:rPr>
        <w:t>th</w:t>
      </w:r>
      <w:r w:rsidR="00A04E0A">
        <w:rPr>
          <w:rFonts w:ascii="Times New Roman" w:hAnsi="Times New Roman" w:cs="Times New Roman"/>
          <w:color w:val="000000" w:themeColor="text1"/>
          <w:sz w:val="20"/>
          <w:szCs w:val="20"/>
          <w:vertAlign w:val="superscript"/>
        </w:rPr>
        <w:t xml:space="preserve"> </w:t>
      </w:r>
      <w:r w:rsidR="00A04E0A">
        <w:rPr>
          <w:rFonts w:ascii="Times New Roman" w:hAnsi="Times New Roman" w:cs="Times New Roman"/>
          <w:color w:val="000000" w:themeColor="text1"/>
          <w:sz w:val="20"/>
          <w:szCs w:val="20"/>
        </w:rPr>
        <w:t>[</w:t>
      </w:r>
      <w:r w:rsidR="00942317">
        <w:rPr>
          <w:rFonts w:ascii="Times New Roman" w:hAnsi="Times New Roman" w:cs="Times New Roman"/>
          <w:color w:val="000000" w:themeColor="text1"/>
          <w:sz w:val="20"/>
          <w:szCs w:val="20"/>
        </w:rPr>
        <w:t>2</w:t>
      </w:r>
      <w:r w:rsidR="00A04E0A">
        <w:rPr>
          <w:rFonts w:ascii="Times New Roman" w:hAnsi="Times New Roman" w:cs="Times New Roman"/>
          <w:color w:val="000000" w:themeColor="text1"/>
          <w:sz w:val="20"/>
          <w:szCs w:val="20"/>
        </w:rPr>
        <w:t>]</w:t>
      </w:r>
    </w:p>
    <w:p w14:paraId="6113232B" w14:textId="4C4C78E0" w:rsidR="00FC09CD" w:rsidRDefault="00C057A8" w:rsidP="00F45554">
      <w:p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This graph shows on the X-axis time interval and Y-axis shows power. </w:t>
      </w:r>
      <w:r w:rsidR="00824A5A" w:rsidRPr="00824A5A">
        <w:rPr>
          <w:rFonts w:ascii="Times New Roman" w:hAnsi="Times New Roman" w:cs="Times New Roman"/>
          <w:color w:val="000000" w:themeColor="text1"/>
          <w:sz w:val="20"/>
          <w:szCs w:val="20"/>
        </w:rPr>
        <w:t>When comparing the phase 1 forecast result with the actual wind power output on May 18th, it can nearly match the variation trend on wind generation. But within specific time frames, the</w:t>
      </w:r>
      <w:r w:rsidR="00F45554">
        <w:rPr>
          <w:rFonts w:ascii="Times New Roman" w:hAnsi="Times New Roman" w:cs="Times New Roman"/>
          <w:color w:val="000000" w:themeColor="text1"/>
          <w:sz w:val="20"/>
          <w:szCs w:val="20"/>
        </w:rPr>
        <w:t xml:space="preserve"> </w:t>
      </w:r>
      <w:r w:rsidR="00F45554" w:rsidRPr="00F45554">
        <w:rPr>
          <w:rFonts w:ascii="Times New Roman" w:hAnsi="Times New Roman" w:cs="Times New Roman"/>
          <w:color w:val="000000" w:themeColor="text1"/>
          <w:sz w:val="20"/>
          <w:szCs w:val="20"/>
        </w:rPr>
        <w:t>Because the expected and actual outputs differ, there may be an over</w:t>
      </w:r>
      <w:r w:rsidR="00F45554">
        <w:rPr>
          <w:rFonts w:ascii="Times New Roman" w:hAnsi="Times New Roman" w:cs="Times New Roman"/>
          <w:color w:val="000000" w:themeColor="text1"/>
          <w:sz w:val="20"/>
          <w:szCs w:val="20"/>
        </w:rPr>
        <w:t xml:space="preserve"> </w:t>
      </w:r>
      <w:r w:rsidR="00F45554" w:rsidRPr="00F45554">
        <w:rPr>
          <w:rFonts w:ascii="Times New Roman" w:hAnsi="Times New Roman" w:cs="Times New Roman"/>
          <w:color w:val="000000" w:themeColor="text1"/>
          <w:sz w:val="20"/>
          <w:szCs w:val="20"/>
        </w:rPr>
        <w:t xml:space="preserve">dispatch on </w:t>
      </w:r>
      <w:r w:rsidR="00172DBA">
        <w:rPr>
          <w:rFonts w:ascii="Times New Roman" w:hAnsi="Times New Roman" w:cs="Times New Roman"/>
          <w:color w:val="000000" w:themeColor="text1"/>
          <w:sz w:val="20"/>
          <w:szCs w:val="20"/>
        </w:rPr>
        <w:t>day ahead market (</w:t>
      </w:r>
      <w:r w:rsidR="00F45554" w:rsidRPr="00F45554">
        <w:rPr>
          <w:rFonts w:ascii="Times New Roman" w:hAnsi="Times New Roman" w:cs="Times New Roman"/>
          <w:color w:val="000000" w:themeColor="text1"/>
          <w:sz w:val="20"/>
          <w:szCs w:val="20"/>
        </w:rPr>
        <w:t>DAM</w:t>
      </w:r>
      <w:r w:rsidR="00172DBA">
        <w:rPr>
          <w:rFonts w:ascii="Times New Roman" w:hAnsi="Times New Roman" w:cs="Times New Roman"/>
          <w:color w:val="000000" w:themeColor="text1"/>
          <w:sz w:val="20"/>
          <w:szCs w:val="20"/>
        </w:rPr>
        <w:t xml:space="preserve">) </w:t>
      </w:r>
      <w:r w:rsidR="00F45554" w:rsidRPr="00F45554">
        <w:rPr>
          <w:rFonts w:ascii="Times New Roman" w:hAnsi="Times New Roman" w:cs="Times New Roman"/>
          <w:color w:val="000000" w:themeColor="text1"/>
          <w:sz w:val="20"/>
          <w:szCs w:val="20"/>
        </w:rPr>
        <w:t>energy management.</w:t>
      </w:r>
      <w:r w:rsidR="00F45554">
        <w:rPr>
          <w:rFonts w:ascii="Times New Roman" w:hAnsi="Times New Roman" w:cs="Times New Roman"/>
          <w:color w:val="000000" w:themeColor="text1"/>
          <w:sz w:val="20"/>
          <w:szCs w:val="20"/>
        </w:rPr>
        <w:t xml:space="preserve"> </w:t>
      </w:r>
      <w:r w:rsidR="00F45554" w:rsidRPr="00F45554">
        <w:rPr>
          <w:rFonts w:ascii="Times New Roman" w:hAnsi="Times New Roman" w:cs="Times New Roman"/>
          <w:color w:val="000000" w:themeColor="text1"/>
          <w:sz w:val="20"/>
          <w:szCs w:val="20"/>
        </w:rPr>
        <w:t>Therefore, phase 2 refining will be considered in order to improve the forecasting result's reliability</w:t>
      </w:r>
      <w:r w:rsidR="00A04E0A">
        <w:rPr>
          <w:rFonts w:ascii="Times New Roman" w:hAnsi="Times New Roman" w:cs="Times New Roman"/>
          <w:color w:val="000000" w:themeColor="text1"/>
          <w:sz w:val="20"/>
          <w:szCs w:val="20"/>
        </w:rPr>
        <w:t xml:space="preserve"> [</w:t>
      </w:r>
      <w:r w:rsidR="00942317">
        <w:rPr>
          <w:rFonts w:ascii="Times New Roman" w:hAnsi="Times New Roman" w:cs="Times New Roman"/>
          <w:color w:val="000000" w:themeColor="text1"/>
          <w:sz w:val="20"/>
          <w:szCs w:val="20"/>
        </w:rPr>
        <w:t>2</w:t>
      </w:r>
      <w:r w:rsidR="00A04E0A">
        <w:rPr>
          <w:rFonts w:ascii="Times New Roman" w:hAnsi="Times New Roman" w:cs="Times New Roman"/>
          <w:color w:val="000000" w:themeColor="text1"/>
          <w:sz w:val="20"/>
          <w:szCs w:val="20"/>
        </w:rPr>
        <w:t>].</w:t>
      </w:r>
    </w:p>
    <w:p w14:paraId="24A091DC" w14:textId="0C270010" w:rsidR="00FC09CD" w:rsidRPr="00A73962" w:rsidRDefault="00A73962" w:rsidP="00A73962">
      <w:pPr>
        <w:spacing w:line="240" w:lineRule="auto"/>
        <w:jc w:val="center"/>
        <w:rPr>
          <w:rFonts w:ascii="Times New Roman" w:hAnsi="Times New Roman" w:cs="Times New Roman"/>
          <w:b/>
          <w:bCs/>
          <w:i/>
          <w:iCs/>
          <w:color w:val="000000" w:themeColor="text1"/>
          <w:sz w:val="20"/>
          <w:szCs w:val="20"/>
        </w:rPr>
      </w:pPr>
      <w:r w:rsidRPr="00A73962">
        <w:rPr>
          <w:rFonts w:ascii="Times New Roman" w:hAnsi="Times New Roman" w:cs="Times New Roman"/>
          <w:b/>
          <w:bCs/>
          <w:i/>
          <w:iCs/>
          <w:color w:val="000000" w:themeColor="text1"/>
          <w:sz w:val="20"/>
          <w:szCs w:val="20"/>
        </w:rPr>
        <w:t>B. Efficiency</w:t>
      </w:r>
    </w:p>
    <w:p w14:paraId="56C6DECE" w14:textId="0C0D3487" w:rsidR="00172DBA" w:rsidRDefault="00A73962" w:rsidP="00A73962">
      <w:p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w:t>
      </w:r>
      <w:r w:rsidRPr="00A73962">
        <w:rPr>
          <w:rFonts w:ascii="Times New Roman" w:hAnsi="Times New Roman" w:cs="Times New Roman"/>
          <w:color w:val="000000" w:themeColor="text1"/>
          <w:sz w:val="20"/>
          <w:szCs w:val="20"/>
        </w:rPr>
        <w:t>he efficiency of a wind farm with a multiple-stage hybrid energy storage system depends on various factors, including the specific technologies used, design configuration, and operational strategy. Integrating energy storage can enhance overall system efficiency by addressing intermittency issues associated with wind power.</w:t>
      </w:r>
      <w:r>
        <w:rPr>
          <w:rFonts w:ascii="Times New Roman" w:hAnsi="Times New Roman" w:cs="Times New Roman"/>
          <w:color w:val="000000" w:themeColor="text1"/>
          <w:sz w:val="20"/>
          <w:szCs w:val="20"/>
        </w:rPr>
        <w:t xml:space="preserve"> </w:t>
      </w:r>
      <w:r w:rsidRPr="00A73962">
        <w:rPr>
          <w:rFonts w:ascii="Times New Roman" w:hAnsi="Times New Roman" w:cs="Times New Roman"/>
          <w:color w:val="000000" w:themeColor="text1"/>
          <w:sz w:val="20"/>
          <w:szCs w:val="20"/>
        </w:rPr>
        <w:t>Benefits of a multiple-stage hybrid energy storage system may include improved grid stability, better utilization of renewable energy, and enhanced economic viability. However, the efficiency will be influenced by the conversion losses in each stage of the storage system and the round-trip efficiency of the storage technologies employed.</w:t>
      </w:r>
      <w:r>
        <w:rPr>
          <w:rFonts w:ascii="Times New Roman" w:hAnsi="Times New Roman" w:cs="Times New Roman"/>
          <w:color w:val="000000" w:themeColor="text1"/>
          <w:sz w:val="20"/>
          <w:szCs w:val="20"/>
        </w:rPr>
        <w:t xml:space="preserve"> </w:t>
      </w:r>
      <w:r w:rsidRPr="00A73962">
        <w:rPr>
          <w:rFonts w:ascii="Times New Roman" w:hAnsi="Times New Roman" w:cs="Times New Roman"/>
          <w:color w:val="000000" w:themeColor="text1"/>
          <w:sz w:val="20"/>
          <w:szCs w:val="20"/>
        </w:rPr>
        <w:t>To assess the efficiency accurately, detailed mode</w:t>
      </w:r>
      <w:r>
        <w:rPr>
          <w:rFonts w:ascii="Times New Roman" w:hAnsi="Times New Roman" w:cs="Times New Roman"/>
          <w:color w:val="000000" w:themeColor="text1"/>
          <w:sz w:val="20"/>
          <w:szCs w:val="20"/>
        </w:rPr>
        <w:t>l</w:t>
      </w:r>
      <w:r w:rsidRPr="00A73962">
        <w:rPr>
          <w:rFonts w:ascii="Times New Roman" w:hAnsi="Times New Roman" w:cs="Times New Roman"/>
          <w:color w:val="000000" w:themeColor="text1"/>
          <w:sz w:val="20"/>
          <w:szCs w:val="20"/>
        </w:rPr>
        <w:t>ling and analysis of the specific components, such as batteries, flywheels, or pumped hydro storage, would be necessary. Additionally, the overall system's efficiency will be influenced by how well it is integrated into the wind farm's operation and grid interaction.</w:t>
      </w:r>
      <w:r>
        <w:rPr>
          <w:rFonts w:ascii="Times New Roman" w:hAnsi="Times New Roman" w:cs="Times New Roman"/>
          <w:color w:val="000000" w:themeColor="text1"/>
          <w:sz w:val="20"/>
          <w:szCs w:val="20"/>
        </w:rPr>
        <w:t xml:space="preserve"> </w:t>
      </w:r>
      <w:r w:rsidRPr="00A73962">
        <w:rPr>
          <w:rFonts w:ascii="Times New Roman" w:hAnsi="Times New Roman" w:cs="Times New Roman"/>
          <w:color w:val="000000" w:themeColor="text1"/>
          <w:sz w:val="20"/>
          <w:szCs w:val="20"/>
        </w:rPr>
        <w:t>In summary, the efficiency of a wind farm with a multiple-stage hybrid energy storage system is a complex parameter determined by the specific technologies chosen, their interactions, and the overall system design and operation.</w:t>
      </w:r>
    </w:p>
    <w:p w14:paraId="59AF0B75" w14:textId="377CF0F6" w:rsidR="00B214ED" w:rsidRDefault="00C662AB" w:rsidP="00931603">
      <w:pPr>
        <w:spacing w:line="240" w:lineRule="auto"/>
        <w:jc w:val="center"/>
        <w:rPr>
          <w:rFonts w:ascii="Times New Roman" w:hAnsi="Times New Roman" w:cs="Times New Roman"/>
          <w:b/>
          <w:bCs/>
          <w:color w:val="000000" w:themeColor="text1"/>
          <w:sz w:val="20"/>
          <w:szCs w:val="20"/>
        </w:rPr>
      </w:pPr>
      <w:r w:rsidRPr="00C662AB">
        <w:rPr>
          <w:rFonts w:ascii="Times New Roman" w:hAnsi="Times New Roman" w:cs="Times New Roman"/>
          <w:b/>
          <w:bCs/>
          <w:color w:val="000000" w:themeColor="text1"/>
          <w:sz w:val="20"/>
          <w:szCs w:val="20"/>
        </w:rPr>
        <w:t>II</w:t>
      </w:r>
      <w:r>
        <w:rPr>
          <w:rFonts w:ascii="Times New Roman" w:hAnsi="Times New Roman" w:cs="Times New Roman"/>
          <w:b/>
          <w:bCs/>
          <w:color w:val="000000" w:themeColor="text1"/>
          <w:sz w:val="20"/>
          <w:szCs w:val="20"/>
        </w:rPr>
        <w:t>.</w:t>
      </w:r>
      <w:r w:rsidR="00931603">
        <w:rPr>
          <w:rFonts w:ascii="Times New Roman" w:hAnsi="Times New Roman" w:cs="Times New Roman"/>
          <w:b/>
          <w:bCs/>
          <w:color w:val="000000" w:themeColor="text1"/>
          <w:sz w:val="20"/>
          <w:szCs w:val="20"/>
        </w:rPr>
        <w:t xml:space="preserve"> INTEGRATION ENERGY STORAGE SYSTEMS IN DEMAND PORTS</w:t>
      </w:r>
    </w:p>
    <w:p w14:paraId="6655562D" w14:textId="07964E66" w:rsidR="00DF520B" w:rsidRDefault="002761D6" w:rsidP="00DD18AF">
      <w:pPr>
        <w:spacing w:line="240" w:lineRule="auto"/>
        <w:jc w:val="both"/>
        <w:rPr>
          <w:rFonts w:ascii="Times New Roman" w:hAnsi="Times New Roman" w:cs="Times New Roman"/>
          <w:color w:val="000000" w:themeColor="text1"/>
          <w:sz w:val="20"/>
          <w:szCs w:val="20"/>
        </w:rPr>
      </w:pPr>
      <w:r w:rsidRPr="002761D6">
        <w:rPr>
          <w:rFonts w:ascii="Times New Roman" w:hAnsi="Times New Roman" w:cs="Times New Roman"/>
          <w:color w:val="000000" w:themeColor="text1"/>
          <w:sz w:val="20"/>
          <w:szCs w:val="20"/>
        </w:rPr>
        <w:t xml:space="preserve">As a result, improving efficiency in ports as a crucial interface in the global communication chain will have a key role in reducing cost and time, as well as </w:t>
      </w:r>
      <w:r w:rsidRPr="002761D6">
        <w:rPr>
          <w:rFonts w:ascii="Times New Roman" w:hAnsi="Times New Roman" w:cs="Times New Roman"/>
          <w:color w:val="000000" w:themeColor="text1"/>
          <w:sz w:val="20"/>
          <w:szCs w:val="20"/>
        </w:rPr>
        <w:lastRenderedPageBreak/>
        <w:t>increasing productivity. By developing electrical systems based on renewable energy sources, installing energy storage systems in ports improves demand control by optimizing power usage, reducing pea loads, and providing a reliable energy supply. This comprehensive technoeconomic solution improves efficiency, minimizes costs, and contributes to a sustainable and resilient ports infrastructure. Since ports' economic efficiency encourages continuous innovations to reduce the operating costs based on the reduction of processes operating time by automated means on the service continuity enhancement and energy-saving techniques</w:t>
      </w:r>
      <w:r>
        <w:rPr>
          <w:rFonts w:ascii="Times New Roman" w:hAnsi="Times New Roman" w:cs="Times New Roman"/>
          <w:color w:val="000000" w:themeColor="text1"/>
          <w:sz w:val="20"/>
          <w:szCs w:val="20"/>
        </w:rPr>
        <w:t xml:space="preserve"> </w:t>
      </w:r>
      <w:r>
        <w:rPr>
          <w:rFonts w:ascii="Times New Roman" w:hAnsi="Times New Roman" w:cs="Times New Roman"/>
          <w:sz w:val="20"/>
          <w:szCs w:val="20"/>
        </w:rPr>
        <w:t xml:space="preserve">[3]. </w:t>
      </w:r>
    </w:p>
    <w:p w14:paraId="54F3BA20" w14:textId="28B74AD0" w:rsidR="00F951F2" w:rsidRDefault="00F951F2" w:rsidP="00F951F2">
      <w:pPr>
        <w:spacing w:line="240" w:lineRule="auto"/>
        <w:jc w:val="center"/>
        <w:rPr>
          <w:rFonts w:ascii="Times New Roman" w:hAnsi="Times New Roman" w:cs="Times New Roman"/>
          <w:b/>
          <w:bCs/>
          <w:color w:val="000000" w:themeColor="text1"/>
          <w:sz w:val="20"/>
          <w:szCs w:val="20"/>
        </w:rPr>
      </w:pPr>
      <w:r w:rsidRPr="00F951F2">
        <w:rPr>
          <w:rFonts w:ascii="Times New Roman" w:hAnsi="Times New Roman" w:cs="Times New Roman"/>
          <w:b/>
          <w:bCs/>
          <w:color w:val="000000" w:themeColor="text1"/>
          <w:sz w:val="20"/>
          <w:szCs w:val="20"/>
        </w:rPr>
        <w:t>A. Different load demands in ports</w:t>
      </w:r>
    </w:p>
    <w:p w14:paraId="191CA6CF" w14:textId="77777777" w:rsidR="00E10DB4" w:rsidRDefault="00E10DB4" w:rsidP="00E10DB4">
      <w:pPr>
        <w:spacing w:line="240" w:lineRule="auto"/>
        <w:jc w:val="both"/>
        <w:rPr>
          <w:rFonts w:ascii="Times New Roman" w:hAnsi="Times New Roman" w:cs="Times New Roman"/>
          <w:sz w:val="20"/>
          <w:szCs w:val="20"/>
        </w:rPr>
      </w:pPr>
      <w:r w:rsidRPr="00E10DB4">
        <w:rPr>
          <w:rFonts w:ascii="Times New Roman" w:hAnsi="Times New Roman" w:cs="Times New Roman"/>
          <w:color w:val="000000" w:themeColor="text1"/>
          <w:sz w:val="20"/>
          <w:szCs w:val="20"/>
        </w:rPr>
        <w:t>Ports have a variety of specialized electrical loads, including cold ironing and various kinds of cranes.</w:t>
      </w:r>
      <w:r>
        <w:rPr>
          <w:rFonts w:ascii="Times New Roman" w:hAnsi="Times New Roman" w:cs="Times New Roman"/>
          <w:color w:val="000000" w:themeColor="text1"/>
          <w:sz w:val="20"/>
          <w:szCs w:val="20"/>
        </w:rPr>
        <w:t xml:space="preserve"> </w:t>
      </w:r>
      <w:r w:rsidRPr="00E10DB4">
        <w:rPr>
          <w:rFonts w:ascii="Times New Roman" w:hAnsi="Times New Roman" w:cs="Times New Roman"/>
          <w:color w:val="000000" w:themeColor="text1"/>
          <w:sz w:val="20"/>
          <w:szCs w:val="20"/>
        </w:rPr>
        <w:t>The most important load at POLB's Pier E is STS cranes, which</w:t>
      </w:r>
      <w:r>
        <w:rPr>
          <w:rFonts w:ascii="Times New Roman" w:hAnsi="Times New Roman" w:cs="Times New Roman"/>
          <w:color w:val="000000" w:themeColor="text1"/>
          <w:sz w:val="20"/>
          <w:szCs w:val="20"/>
        </w:rPr>
        <w:t xml:space="preserve"> </w:t>
      </w:r>
      <w:r w:rsidRPr="00E10DB4">
        <w:rPr>
          <w:rFonts w:ascii="Times New Roman" w:hAnsi="Times New Roman" w:cs="Times New Roman"/>
          <w:color w:val="000000" w:themeColor="text1"/>
          <w:sz w:val="20"/>
          <w:szCs w:val="20"/>
        </w:rPr>
        <w:t>possess a peak load demand of about 4 MW/s. Given that it places a</w:t>
      </w:r>
      <w:r>
        <w:rPr>
          <w:rFonts w:ascii="Times New Roman" w:hAnsi="Times New Roman" w:cs="Times New Roman"/>
          <w:color w:val="000000" w:themeColor="text1"/>
          <w:sz w:val="20"/>
          <w:szCs w:val="20"/>
        </w:rPr>
        <w:t xml:space="preserve"> </w:t>
      </w:r>
      <w:r w:rsidRPr="00E10DB4">
        <w:rPr>
          <w:rFonts w:ascii="Times New Roman" w:hAnsi="Times New Roman" w:cs="Times New Roman"/>
          <w:color w:val="000000" w:themeColor="text1"/>
          <w:sz w:val="20"/>
          <w:szCs w:val="20"/>
        </w:rPr>
        <w:t>significant expense for the port, energy management is needed</w:t>
      </w:r>
      <w:r>
        <w:rPr>
          <w:rFonts w:ascii="Times New Roman" w:hAnsi="Times New Roman" w:cs="Times New Roman"/>
          <w:color w:val="000000" w:themeColor="text1"/>
          <w:sz w:val="20"/>
          <w:szCs w:val="20"/>
        </w:rPr>
        <w:t xml:space="preserve"> </w:t>
      </w:r>
      <w:r w:rsidRPr="00E10DB4">
        <w:rPr>
          <w:rFonts w:ascii="Times New Roman" w:hAnsi="Times New Roman" w:cs="Times New Roman"/>
          <w:color w:val="000000" w:themeColor="text1"/>
          <w:sz w:val="20"/>
          <w:szCs w:val="20"/>
        </w:rPr>
        <w:t>and power optimization techniques to lower the overall expense</w:t>
      </w:r>
      <w:r>
        <w:rPr>
          <w:rFonts w:ascii="Times New Roman" w:hAnsi="Times New Roman" w:cs="Times New Roman"/>
          <w:color w:val="000000" w:themeColor="text1"/>
          <w:sz w:val="20"/>
          <w:szCs w:val="20"/>
        </w:rPr>
        <w:t xml:space="preserve"> [3</w:t>
      </w:r>
      <w:r w:rsidRPr="00E10DB4">
        <w:rPr>
          <w:rFonts w:ascii="Times New Roman" w:hAnsi="Times New Roman" w:cs="Times New Roman"/>
          <w:color w:val="000000" w:themeColor="text1"/>
          <w:sz w:val="20"/>
          <w:szCs w:val="20"/>
        </w:rPr>
        <w:t>].</w:t>
      </w:r>
      <w:r>
        <w:rPr>
          <w:rFonts w:ascii="Times New Roman" w:hAnsi="Times New Roman" w:cs="Times New Roman"/>
          <w:sz w:val="20"/>
          <w:szCs w:val="20"/>
        </w:rPr>
        <w:t xml:space="preserve"> </w:t>
      </w:r>
      <w:r w:rsidRPr="00E10DB4">
        <w:rPr>
          <w:rFonts w:ascii="Times New Roman" w:hAnsi="Times New Roman" w:cs="Times New Roman"/>
          <w:sz w:val="20"/>
          <w:szCs w:val="20"/>
        </w:rPr>
        <w:t xml:space="preserve">the following solutions can be implemented to use regenerative energy: </w:t>
      </w:r>
    </w:p>
    <w:p w14:paraId="27FBF730" w14:textId="0BD7B2E3" w:rsidR="00E10DB4" w:rsidRDefault="00E10DB4" w:rsidP="00E10DB4">
      <w:pPr>
        <w:spacing w:line="240" w:lineRule="auto"/>
        <w:jc w:val="both"/>
        <w:rPr>
          <w:rFonts w:ascii="Times New Roman" w:hAnsi="Times New Roman" w:cs="Times New Roman"/>
          <w:sz w:val="20"/>
          <w:szCs w:val="20"/>
        </w:rPr>
      </w:pPr>
      <w:r w:rsidRPr="00E10DB4">
        <w:rPr>
          <w:rFonts w:ascii="Times New Roman" w:hAnsi="Times New Roman" w:cs="Times New Roman"/>
          <w:sz w:val="20"/>
          <w:szCs w:val="20"/>
        </w:rPr>
        <w:t>1) Coordination of cranes’ DCs in STS group cranes. 2) Bidirectional switches to restore to the main grid. 3) ESSs</w:t>
      </w:r>
      <w:r>
        <w:rPr>
          <w:rFonts w:ascii="Times New Roman" w:hAnsi="Times New Roman" w:cs="Times New Roman"/>
          <w:sz w:val="20"/>
          <w:szCs w:val="20"/>
        </w:rPr>
        <w:t xml:space="preserve"> [3]</w:t>
      </w:r>
      <w:r w:rsidRPr="00E10DB4">
        <w:rPr>
          <w:rFonts w:ascii="Times New Roman" w:hAnsi="Times New Roman" w:cs="Times New Roman"/>
          <w:sz w:val="20"/>
          <w:szCs w:val="20"/>
        </w:rPr>
        <w:t>.</w:t>
      </w:r>
    </w:p>
    <w:p w14:paraId="40ED652F" w14:textId="4EB27815" w:rsidR="00E10DB4" w:rsidRDefault="00BD2208" w:rsidP="008C637F">
      <w:pPr>
        <w:pStyle w:val="NoSpacing"/>
        <w:jc w:val="both"/>
        <w:rPr>
          <w:rFonts w:ascii="Times New Roman" w:hAnsi="Times New Roman" w:cs="Times New Roman"/>
          <w:sz w:val="20"/>
          <w:szCs w:val="20"/>
        </w:rPr>
      </w:pPr>
      <w:r w:rsidRPr="008C637F">
        <w:rPr>
          <w:rFonts w:ascii="Times New Roman" w:hAnsi="Times New Roman" w:cs="Times New Roman"/>
          <w:sz w:val="20"/>
          <w:szCs w:val="20"/>
        </w:rPr>
        <w:t>Ports experiences varying load demands based on factors such as shipping schedules, cargo types, and economic activity. Busy ports often see higher demand during peak shipping seasons, while fluctuations can occur due to global trade patterns and geopolitical events.</w:t>
      </w:r>
      <w:r w:rsidR="00686ECA" w:rsidRPr="008C637F">
        <w:rPr>
          <w:rFonts w:ascii="Times New Roman" w:hAnsi="Times New Roman" w:cs="Times New Roman"/>
          <w:sz w:val="20"/>
          <w:szCs w:val="20"/>
        </w:rPr>
        <w:t xml:space="preserve"> </w:t>
      </w:r>
      <w:r w:rsidRPr="008C637F">
        <w:rPr>
          <w:rFonts w:ascii="Times New Roman" w:hAnsi="Times New Roman" w:cs="Times New Roman"/>
          <w:sz w:val="20"/>
          <w:szCs w:val="20"/>
        </w:rPr>
        <w:t>Container terminals may have different load demands compared to bulk or liquid cargo terminals, influencing overall port activity.</w:t>
      </w:r>
      <w:r w:rsidR="00686ECA" w:rsidRPr="008C637F">
        <w:rPr>
          <w:rFonts w:ascii="Times New Roman" w:hAnsi="Times New Roman" w:cs="Times New Roman"/>
          <w:sz w:val="20"/>
          <w:szCs w:val="20"/>
        </w:rPr>
        <w:t xml:space="preserve"> The ports are locations where a microgrid can be used to organize and manage electricity in order to integrate all of the tenants, applications, and energy services in standard load management that is optimized to boost productivity and lower the cost of energy. The ports are necessary to set up the primary power distribution system that is suitable and sufficient to the demands of every tenant worldwide, including cranes, reefers, cold pressing, and managing the world's infrastructure for enhanced effectiveness</w:t>
      </w:r>
      <w:r w:rsidR="0024377A">
        <w:rPr>
          <w:rFonts w:ascii="Times New Roman" w:hAnsi="Times New Roman" w:cs="Times New Roman"/>
          <w:sz w:val="20"/>
          <w:szCs w:val="20"/>
        </w:rPr>
        <w:t xml:space="preserve">. </w:t>
      </w:r>
    </w:p>
    <w:p w14:paraId="6BEF849F" w14:textId="77777777" w:rsidR="00291B10" w:rsidRDefault="00291B10" w:rsidP="008C637F">
      <w:pPr>
        <w:pStyle w:val="NoSpacing"/>
        <w:jc w:val="both"/>
        <w:rPr>
          <w:rFonts w:ascii="Times New Roman" w:hAnsi="Times New Roman" w:cs="Times New Roman"/>
          <w:b/>
          <w:bCs/>
          <w:i/>
          <w:iCs/>
          <w:sz w:val="20"/>
          <w:szCs w:val="20"/>
        </w:rPr>
      </w:pPr>
    </w:p>
    <w:p w14:paraId="468E4CFD" w14:textId="71540A73" w:rsidR="00291B10" w:rsidRPr="00B8599E" w:rsidRDefault="00291B10" w:rsidP="008C637F">
      <w:pPr>
        <w:pStyle w:val="NoSpacing"/>
        <w:jc w:val="both"/>
        <w:rPr>
          <w:rFonts w:ascii="Times New Roman" w:hAnsi="Times New Roman" w:cs="Times New Roman"/>
          <w:i/>
          <w:iCs/>
          <w:sz w:val="20"/>
          <w:szCs w:val="20"/>
        </w:rPr>
      </w:pPr>
      <w:r w:rsidRPr="00B8599E">
        <w:rPr>
          <w:rFonts w:ascii="Times New Roman" w:hAnsi="Times New Roman" w:cs="Times New Roman"/>
          <w:i/>
          <w:iCs/>
          <w:sz w:val="20"/>
          <w:szCs w:val="20"/>
        </w:rPr>
        <w:t>Comprehensive Techno-economic solution for demand control in ports</w:t>
      </w:r>
      <w:r w:rsidR="0064424E" w:rsidRPr="00B8599E">
        <w:rPr>
          <w:rFonts w:ascii="Times New Roman" w:hAnsi="Times New Roman" w:cs="Times New Roman"/>
          <w:i/>
          <w:iCs/>
          <w:sz w:val="20"/>
          <w:szCs w:val="20"/>
        </w:rPr>
        <w:t xml:space="preserve"> could involve implementing advanced technologies and strategies to optimize port operations include: </w:t>
      </w:r>
    </w:p>
    <w:p w14:paraId="03391A1D" w14:textId="77777777" w:rsidR="0064424E" w:rsidRPr="0064424E" w:rsidRDefault="0064424E" w:rsidP="008C637F">
      <w:pPr>
        <w:pStyle w:val="NoSpacing"/>
        <w:jc w:val="both"/>
        <w:rPr>
          <w:rFonts w:ascii="Times New Roman" w:hAnsi="Times New Roman" w:cs="Times New Roman"/>
          <w:sz w:val="20"/>
          <w:szCs w:val="20"/>
        </w:rPr>
      </w:pPr>
    </w:p>
    <w:p w14:paraId="1EDDB3D3" w14:textId="22B60F24" w:rsidR="00291B10" w:rsidRDefault="00291B10" w:rsidP="0064424E">
      <w:pPr>
        <w:pStyle w:val="ListParagraph"/>
        <w:numPr>
          <w:ilvl w:val="0"/>
          <w:numId w:val="1"/>
        </w:numPr>
        <w:spacing w:line="240" w:lineRule="auto"/>
        <w:jc w:val="both"/>
        <w:rPr>
          <w:rFonts w:ascii="Times New Roman" w:hAnsi="Times New Roman" w:cs="Times New Roman"/>
          <w:color w:val="000000" w:themeColor="text1"/>
          <w:sz w:val="20"/>
          <w:szCs w:val="20"/>
        </w:rPr>
      </w:pPr>
      <w:r w:rsidRPr="0064424E">
        <w:rPr>
          <w:rFonts w:ascii="Times New Roman" w:hAnsi="Times New Roman" w:cs="Times New Roman"/>
          <w:color w:val="000000" w:themeColor="text1"/>
          <w:sz w:val="20"/>
          <w:szCs w:val="20"/>
        </w:rPr>
        <w:t xml:space="preserve">Smart Scheduling systems: Utilize predictive analytics and AI-driven scheduling systems to optimize ship arrivals and departures, reducing </w:t>
      </w:r>
      <w:r w:rsidRPr="0064424E">
        <w:rPr>
          <w:rFonts w:ascii="Times New Roman" w:hAnsi="Times New Roman" w:cs="Times New Roman"/>
          <w:color w:val="000000" w:themeColor="text1"/>
          <w:sz w:val="20"/>
          <w:szCs w:val="20"/>
        </w:rPr>
        <w:t>congestion and improving overall efficiency.</w:t>
      </w:r>
    </w:p>
    <w:p w14:paraId="0D0B5668" w14:textId="77777777" w:rsidR="0064424E" w:rsidRPr="0064424E" w:rsidRDefault="0064424E" w:rsidP="0064424E">
      <w:pPr>
        <w:pStyle w:val="ListParagraph"/>
        <w:spacing w:line="240" w:lineRule="auto"/>
        <w:jc w:val="both"/>
        <w:rPr>
          <w:rFonts w:ascii="Times New Roman" w:hAnsi="Times New Roman" w:cs="Times New Roman"/>
          <w:color w:val="000000" w:themeColor="text1"/>
          <w:sz w:val="20"/>
          <w:szCs w:val="20"/>
        </w:rPr>
      </w:pPr>
    </w:p>
    <w:p w14:paraId="24090F65" w14:textId="77777777" w:rsidR="00291B10" w:rsidRDefault="00291B10" w:rsidP="00291B10">
      <w:pPr>
        <w:pStyle w:val="ListParagraph"/>
        <w:numPr>
          <w:ilvl w:val="0"/>
          <w:numId w:val="1"/>
        </w:numPr>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Automated container handling: Invest in automation technologies such as autonomous cranes and robotic container handling to enhance the speed and precision of cargo movements.</w:t>
      </w:r>
    </w:p>
    <w:p w14:paraId="68FED263" w14:textId="77777777" w:rsidR="0064424E" w:rsidRDefault="0064424E" w:rsidP="0064424E">
      <w:pPr>
        <w:pStyle w:val="ListParagraph"/>
        <w:spacing w:line="240" w:lineRule="auto"/>
        <w:jc w:val="both"/>
        <w:rPr>
          <w:rFonts w:ascii="Times New Roman" w:hAnsi="Times New Roman" w:cs="Times New Roman"/>
          <w:color w:val="000000" w:themeColor="text1"/>
          <w:sz w:val="20"/>
          <w:szCs w:val="20"/>
        </w:rPr>
      </w:pPr>
    </w:p>
    <w:p w14:paraId="59955E7E" w14:textId="7438F8A3" w:rsidR="008054F4" w:rsidRDefault="00291B10" w:rsidP="008054F4">
      <w:pPr>
        <w:pStyle w:val="ListParagraph"/>
        <w:numPr>
          <w:ilvl w:val="0"/>
          <w:numId w:val="1"/>
        </w:numPr>
        <w:spacing w:line="240" w:lineRule="auto"/>
        <w:jc w:val="both"/>
        <w:rPr>
          <w:rFonts w:ascii="Times New Roman" w:hAnsi="Times New Roman" w:cs="Times New Roman"/>
          <w:color w:val="000000" w:themeColor="text1"/>
          <w:sz w:val="20"/>
          <w:szCs w:val="20"/>
        </w:rPr>
      </w:pPr>
      <w:r w:rsidRPr="0064424E">
        <w:rPr>
          <w:rFonts w:ascii="Times New Roman" w:hAnsi="Times New Roman" w:cs="Times New Roman"/>
          <w:color w:val="000000" w:themeColor="text1"/>
          <w:sz w:val="20"/>
          <w:szCs w:val="20"/>
        </w:rPr>
        <w:t>Energy Efficient measures: Incorporate energy-efficient technologies in port operations, such as green energy sources for equipment, and</w:t>
      </w:r>
      <w:r w:rsidR="0064424E" w:rsidRPr="0064424E">
        <w:rPr>
          <w:rFonts w:ascii="Times New Roman" w:hAnsi="Times New Roman" w:cs="Times New Roman"/>
          <w:color w:val="000000" w:themeColor="text1"/>
          <w:sz w:val="20"/>
          <w:szCs w:val="20"/>
        </w:rPr>
        <w:t xml:space="preserve"> smart grid systems, to reduce operational costs and environmental impact.</w:t>
      </w:r>
    </w:p>
    <w:p w14:paraId="5026B2CA" w14:textId="77777777" w:rsidR="00D90E1C" w:rsidRDefault="00D90E1C" w:rsidP="00D90E1C">
      <w:pPr>
        <w:spacing w:line="240" w:lineRule="auto"/>
        <w:ind w:left="360"/>
        <w:jc w:val="both"/>
        <w:rPr>
          <w:rFonts w:ascii="Times New Roman" w:hAnsi="Times New Roman" w:cs="Times New Roman"/>
          <w:color w:val="000000" w:themeColor="text1"/>
          <w:sz w:val="20"/>
          <w:szCs w:val="20"/>
        </w:rPr>
      </w:pPr>
    </w:p>
    <w:p w14:paraId="6B4A54AC" w14:textId="626112D3" w:rsidR="00D90E1C" w:rsidRDefault="000F5E3A" w:rsidP="000F5E3A">
      <w:pPr>
        <w:spacing w:line="240" w:lineRule="auto"/>
        <w:ind w:left="360"/>
        <w:jc w:val="center"/>
        <w:rPr>
          <w:rFonts w:ascii="Times New Roman" w:hAnsi="Times New Roman" w:cs="Times New Roman"/>
          <w:b/>
          <w:bCs/>
          <w:color w:val="000000" w:themeColor="text1"/>
          <w:sz w:val="20"/>
          <w:szCs w:val="20"/>
        </w:rPr>
      </w:pPr>
      <w:r w:rsidRPr="000F5E3A">
        <w:rPr>
          <w:rFonts w:ascii="Times New Roman" w:hAnsi="Times New Roman" w:cs="Times New Roman"/>
          <w:b/>
          <w:bCs/>
          <w:color w:val="000000" w:themeColor="text1"/>
          <w:sz w:val="20"/>
          <w:szCs w:val="20"/>
        </w:rPr>
        <w:t>I</w:t>
      </w:r>
      <w:r w:rsidR="004C3F9C">
        <w:rPr>
          <w:rFonts w:ascii="Times New Roman" w:hAnsi="Times New Roman" w:cs="Times New Roman"/>
          <w:b/>
          <w:bCs/>
          <w:color w:val="000000" w:themeColor="text1"/>
          <w:sz w:val="20"/>
          <w:szCs w:val="20"/>
        </w:rPr>
        <w:t>II</w:t>
      </w:r>
      <w:r w:rsidRPr="000F5E3A">
        <w:rPr>
          <w:rFonts w:ascii="Times New Roman" w:hAnsi="Times New Roman" w:cs="Times New Roman"/>
          <w:b/>
          <w:bCs/>
          <w:color w:val="000000" w:themeColor="text1"/>
          <w:sz w:val="20"/>
          <w:szCs w:val="20"/>
        </w:rPr>
        <w:t>.</w:t>
      </w:r>
      <w:r>
        <w:rPr>
          <w:rFonts w:ascii="Times New Roman" w:hAnsi="Times New Roman" w:cs="Times New Roman"/>
          <w:b/>
          <w:bCs/>
          <w:color w:val="000000" w:themeColor="text1"/>
          <w:sz w:val="20"/>
          <w:szCs w:val="20"/>
        </w:rPr>
        <w:t xml:space="preserve">  </w:t>
      </w:r>
      <w:r w:rsidRPr="000F5E3A">
        <w:rPr>
          <w:rFonts w:ascii="Times New Roman" w:hAnsi="Times New Roman" w:cs="Times New Roman"/>
          <w:b/>
          <w:bCs/>
          <w:color w:val="000000" w:themeColor="text1"/>
          <w:sz w:val="20"/>
          <w:szCs w:val="20"/>
        </w:rPr>
        <w:t>BATTERY ENERGY STORAGE SYSTEM</w:t>
      </w:r>
    </w:p>
    <w:p w14:paraId="45199B5B" w14:textId="2234E24A" w:rsidR="000F5E3A" w:rsidRDefault="000F5E3A" w:rsidP="000F5E3A">
      <w:pPr>
        <w:spacing w:line="240" w:lineRule="auto"/>
        <w:ind w:left="360"/>
        <w:jc w:val="both"/>
        <w:rPr>
          <w:rFonts w:ascii="Times New Roman" w:hAnsi="Times New Roman" w:cs="Times New Roman"/>
          <w:sz w:val="20"/>
          <w:szCs w:val="20"/>
        </w:rPr>
      </w:pPr>
      <w:r w:rsidRPr="000F5E3A">
        <w:rPr>
          <w:rFonts w:ascii="Times New Roman" w:hAnsi="Times New Roman" w:cs="Times New Roman"/>
          <w:sz w:val="20"/>
          <w:szCs w:val="20"/>
        </w:rPr>
        <w:t>There are many solutions for the energy storage and most of them are depending on Li-ion batteries. A comprehensive review of battery sizing, methods and applications in various renewable energy systems. Energy storage is a critical component of manufacturing, of the service industry, of the future renewable energy industry, and of all the portable electronics with which they became obsessed. Lithium-ion batteries played an important and vital role in the progression of modern energy storage technology</w:t>
      </w:r>
      <w:r>
        <w:rPr>
          <w:rFonts w:ascii="Times New Roman" w:hAnsi="Times New Roman" w:cs="Times New Roman"/>
          <w:sz w:val="20"/>
          <w:szCs w:val="20"/>
        </w:rPr>
        <w:t xml:space="preserve"> [4]. </w:t>
      </w:r>
      <w:r w:rsidR="00950349" w:rsidRPr="00950349">
        <w:rPr>
          <w:rFonts w:ascii="Times New Roman" w:hAnsi="Times New Roman" w:cs="Times New Roman"/>
          <w:sz w:val="20"/>
          <w:szCs w:val="20"/>
        </w:rPr>
        <w:t>The suggested BESS seeks to meet customer budget requirements by lowering production costs. The selection of this project is based on support for the sustacentric viewpoint. In the meantime, reaching numerous sustainability goals, like zero waste, get rid of dangerous emissions, and rely on solar power and decrease raw materials in a cycle that is closed.</w:t>
      </w:r>
    </w:p>
    <w:p w14:paraId="01117877" w14:textId="07743DED" w:rsidR="00950349" w:rsidRDefault="00950349" w:rsidP="000F5E3A">
      <w:pPr>
        <w:spacing w:line="240" w:lineRule="auto"/>
        <w:ind w:left="360"/>
        <w:jc w:val="both"/>
        <w:rPr>
          <w:rFonts w:ascii="Times New Roman" w:hAnsi="Times New Roman" w:cs="Times New Roman"/>
          <w:b/>
          <w:bCs/>
          <w:i/>
          <w:iCs/>
          <w:sz w:val="20"/>
          <w:szCs w:val="20"/>
        </w:rPr>
      </w:pPr>
      <w:r w:rsidRPr="00950349">
        <w:rPr>
          <w:rFonts w:ascii="Times New Roman" w:hAnsi="Times New Roman" w:cs="Times New Roman"/>
          <w:b/>
          <w:bCs/>
          <w:i/>
          <w:iCs/>
          <w:sz w:val="20"/>
          <w:szCs w:val="20"/>
        </w:rPr>
        <w:t>A. Proposed solution</w:t>
      </w:r>
    </w:p>
    <w:p w14:paraId="6C3165F2" w14:textId="5CA36005" w:rsidR="00DD18AF" w:rsidRDefault="00584BD0" w:rsidP="004F34A3">
      <w:pPr>
        <w:spacing w:line="240" w:lineRule="auto"/>
        <w:ind w:left="360"/>
        <w:jc w:val="both"/>
        <w:rPr>
          <w:rFonts w:ascii="Times New Roman" w:hAnsi="Times New Roman" w:cs="Times New Roman"/>
          <w:color w:val="000000" w:themeColor="text1"/>
          <w:sz w:val="20"/>
          <w:szCs w:val="20"/>
        </w:rPr>
      </w:pPr>
      <w:r w:rsidRPr="00584BD0">
        <w:rPr>
          <w:rFonts w:ascii="Times New Roman" w:hAnsi="Times New Roman" w:cs="Times New Roman"/>
          <w:color w:val="000000" w:themeColor="text1"/>
          <w:sz w:val="20"/>
          <w:szCs w:val="20"/>
        </w:rPr>
        <w:t>The amount of electricity consumed is broken down into four time periods.</w:t>
      </w:r>
      <w:r>
        <w:rPr>
          <w:rFonts w:ascii="Times New Roman" w:hAnsi="Times New Roman" w:cs="Times New Roman"/>
          <w:color w:val="000000" w:themeColor="text1"/>
          <w:sz w:val="20"/>
          <w:szCs w:val="20"/>
        </w:rPr>
        <w:t xml:space="preserve"> </w:t>
      </w:r>
      <w:r w:rsidRPr="00584BD0">
        <w:rPr>
          <w:rFonts w:ascii="Times New Roman" w:hAnsi="Times New Roman" w:cs="Times New Roman"/>
          <w:color w:val="000000" w:themeColor="text1"/>
          <w:sz w:val="20"/>
          <w:szCs w:val="20"/>
        </w:rPr>
        <w:t>Because of this, the utility sets higher rates for electricity during the early morning and evening (known as "On-Peak") and lower rates during the day (known as "Mid-Peak") and at night (known as "Off-Peak"). The cost of energy in the morning and evening is greater than that in the daytime (</w:t>
      </w:r>
      <w:r w:rsidRPr="00584BD0">
        <w:rPr>
          <w:rFonts w:ascii="Cambria Math" w:hAnsi="Cambria Math" w:cs="Cambria Math"/>
          <w:color w:val="000000" w:themeColor="text1"/>
          <w:sz w:val="20"/>
          <w:szCs w:val="20"/>
        </w:rPr>
        <w:t>∼</w:t>
      </w:r>
      <w:r w:rsidRPr="00584BD0">
        <w:rPr>
          <w:rFonts w:ascii="Times New Roman" w:hAnsi="Times New Roman" w:cs="Times New Roman"/>
          <w:color w:val="000000" w:themeColor="text1"/>
          <w:sz w:val="20"/>
          <w:szCs w:val="20"/>
        </w:rPr>
        <w:t xml:space="preserve"> 1.2) and at night (</w:t>
      </w:r>
      <w:r w:rsidRPr="00584BD0">
        <w:rPr>
          <w:rFonts w:ascii="Cambria Math" w:hAnsi="Cambria Math" w:cs="Cambria Math"/>
          <w:color w:val="000000" w:themeColor="text1"/>
          <w:sz w:val="20"/>
          <w:szCs w:val="20"/>
        </w:rPr>
        <w:t>∼</w:t>
      </w:r>
      <w:r w:rsidRPr="00584BD0">
        <w:rPr>
          <w:rFonts w:ascii="Times New Roman" w:hAnsi="Times New Roman" w:cs="Times New Roman"/>
          <w:color w:val="000000" w:themeColor="text1"/>
          <w:sz w:val="20"/>
          <w:szCs w:val="20"/>
        </w:rPr>
        <w:t xml:space="preserve"> 1.8) </w:t>
      </w:r>
      <w:r w:rsidR="001A33D5">
        <w:rPr>
          <w:rFonts w:ascii="Times New Roman" w:hAnsi="Times New Roman" w:cs="Times New Roman"/>
          <w:color w:val="000000" w:themeColor="text1"/>
          <w:sz w:val="20"/>
          <w:szCs w:val="20"/>
        </w:rPr>
        <w:t>[4]</w:t>
      </w:r>
      <w:r w:rsidRPr="00584BD0">
        <w:rPr>
          <w:rFonts w:ascii="Times New Roman" w:hAnsi="Times New Roman" w:cs="Times New Roman"/>
          <w:color w:val="000000" w:themeColor="text1"/>
          <w:sz w:val="20"/>
          <w:szCs w:val="20"/>
        </w:rPr>
        <w:t>. High electricity bills are the result, which is a prevalent issue. To address the aforementioned issue, designing a modular Battery Energy Storage System (BESS) will be done as one of the innovation levers. The green arrows indicate how power is being supplied to the consumer.</w:t>
      </w:r>
      <w:r>
        <w:rPr>
          <w:rFonts w:ascii="Times New Roman" w:hAnsi="Times New Roman" w:cs="Times New Roman"/>
          <w:color w:val="000000" w:themeColor="text1"/>
          <w:sz w:val="20"/>
          <w:szCs w:val="20"/>
        </w:rPr>
        <w:t xml:space="preserve"> </w:t>
      </w:r>
      <w:r w:rsidRPr="00584BD0">
        <w:rPr>
          <w:rFonts w:ascii="Times New Roman" w:hAnsi="Times New Roman" w:cs="Times New Roman"/>
          <w:color w:val="000000" w:themeColor="text1"/>
          <w:sz w:val="20"/>
          <w:szCs w:val="20"/>
        </w:rPr>
        <w:t>electricity network during On-Peak (behind the meter BTM)</w:t>
      </w:r>
      <w:r>
        <w:rPr>
          <w:rFonts w:ascii="Times New Roman" w:hAnsi="Times New Roman" w:cs="Times New Roman"/>
          <w:color w:val="000000" w:themeColor="text1"/>
          <w:sz w:val="20"/>
          <w:szCs w:val="20"/>
        </w:rPr>
        <w:t xml:space="preserve"> </w:t>
      </w:r>
      <w:r w:rsidRPr="00584BD0">
        <w:rPr>
          <w:rFonts w:ascii="Times New Roman" w:hAnsi="Times New Roman" w:cs="Times New Roman"/>
          <w:color w:val="000000" w:themeColor="text1"/>
          <w:sz w:val="20"/>
          <w:szCs w:val="20"/>
        </w:rPr>
        <w:t>time from the BESS, which clearly takes the role of the utility</w:t>
      </w:r>
      <w:r>
        <w:rPr>
          <w:rFonts w:ascii="Times New Roman" w:hAnsi="Times New Roman" w:cs="Times New Roman"/>
          <w:color w:val="000000" w:themeColor="text1"/>
          <w:sz w:val="20"/>
          <w:szCs w:val="20"/>
        </w:rPr>
        <w:t xml:space="preserve"> </w:t>
      </w:r>
      <w:r w:rsidRPr="00584BD0">
        <w:rPr>
          <w:rFonts w:ascii="Times New Roman" w:hAnsi="Times New Roman" w:cs="Times New Roman"/>
          <w:color w:val="000000" w:themeColor="text1"/>
          <w:sz w:val="20"/>
          <w:szCs w:val="20"/>
        </w:rPr>
        <w:t>energy source (off-grid).</w:t>
      </w:r>
    </w:p>
    <w:p w14:paraId="28DF4D8A" w14:textId="77777777" w:rsidR="004F34A3" w:rsidRPr="004F34A3" w:rsidRDefault="004F34A3" w:rsidP="004F34A3">
      <w:pPr>
        <w:spacing w:line="240" w:lineRule="auto"/>
        <w:ind w:left="360"/>
        <w:jc w:val="both"/>
        <w:rPr>
          <w:rFonts w:ascii="Times New Roman" w:hAnsi="Times New Roman" w:cs="Times New Roman"/>
          <w:color w:val="000000" w:themeColor="text1"/>
          <w:sz w:val="20"/>
          <w:szCs w:val="20"/>
        </w:rPr>
      </w:pPr>
      <w:r w:rsidRPr="004F34A3">
        <w:rPr>
          <w:rFonts w:ascii="Times New Roman" w:hAnsi="Times New Roman" w:cs="Times New Roman"/>
          <w:color w:val="000000" w:themeColor="text1"/>
          <w:sz w:val="20"/>
          <w:szCs w:val="20"/>
        </w:rPr>
        <w:lastRenderedPageBreak/>
        <w:t>The following are some advantages of the suggested course of action:</w:t>
      </w:r>
    </w:p>
    <w:p w14:paraId="4F5AD11C" w14:textId="77777777" w:rsidR="004F34A3" w:rsidRDefault="004F34A3" w:rsidP="004F34A3">
      <w:pPr>
        <w:pStyle w:val="ListParagraph"/>
        <w:numPr>
          <w:ilvl w:val="0"/>
          <w:numId w:val="2"/>
        </w:numPr>
        <w:spacing w:line="240" w:lineRule="auto"/>
        <w:jc w:val="both"/>
        <w:rPr>
          <w:rFonts w:ascii="Times New Roman" w:hAnsi="Times New Roman" w:cs="Times New Roman"/>
          <w:color w:val="000000" w:themeColor="text1"/>
          <w:sz w:val="20"/>
          <w:szCs w:val="20"/>
        </w:rPr>
      </w:pPr>
      <w:r w:rsidRPr="004F34A3">
        <w:rPr>
          <w:rFonts w:ascii="Times New Roman" w:hAnsi="Times New Roman" w:cs="Times New Roman"/>
          <w:color w:val="000000" w:themeColor="text1"/>
          <w:sz w:val="20"/>
          <w:szCs w:val="20"/>
        </w:rPr>
        <w:t>Easier to produce a modular BESS with a unified incubator using certified and refurbished Li-ion batteries.</w:t>
      </w:r>
    </w:p>
    <w:p w14:paraId="42A74DFE" w14:textId="77777777" w:rsidR="004F34A3" w:rsidRDefault="004F34A3" w:rsidP="004F34A3">
      <w:pPr>
        <w:pStyle w:val="ListParagraph"/>
        <w:spacing w:line="240" w:lineRule="auto"/>
        <w:ind w:left="1080"/>
        <w:jc w:val="both"/>
        <w:rPr>
          <w:rFonts w:ascii="Times New Roman" w:hAnsi="Times New Roman" w:cs="Times New Roman"/>
          <w:color w:val="000000" w:themeColor="text1"/>
          <w:sz w:val="20"/>
          <w:szCs w:val="20"/>
        </w:rPr>
      </w:pPr>
    </w:p>
    <w:p w14:paraId="41762B6F" w14:textId="087D70BE" w:rsidR="004F34A3" w:rsidRPr="004F34A3" w:rsidRDefault="004F34A3" w:rsidP="004F34A3">
      <w:pPr>
        <w:pStyle w:val="ListParagraph"/>
        <w:numPr>
          <w:ilvl w:val="0"/>
          <w:numId w:val="2"/>
        </w:numPr>
        <w:spacing w:line="240" w:lineRule="auto"/>
        <w:jc w:val="both"/>
        <w:rPr>
          <w:rFonts w:ascii="Times New Roman" w:hAnsi="Times New Roman" w:cs="Times New Roman"/>
          <w:color w:val="000000" w:themeColor="text1"/>
          <w:sz w:val="20"/>
          <w:szCs w:val="20"/>
        </w:rPr>
      </w:pPr>
      <w:r w:rsidRPr="004F34A3">
        <w:rPr>
          <w:rFonts w:ascii="Times New Roman" w:hAnsi="Times New Roman" w:cs="Times New Roman"/>
          <w:color w:val="000000" w:themeColor="text1"/>
          <w:sz w:val="20"/>
          <w:szCs w:val="20"/>
        </w:rPr>
        <w:t xml:space="preserve"> On the other hand, lowering carbon emissions through the reduction of fossil fuel dependency can be viewed as an environmental benefit (Eco-Efficiency process).</w:t>
      </w:r>
    </w:p>
    <w:p w14:paraId="7F1FF860" w14:textId="36B88A0C" w:rsidR="007C046A" w:rsidRDefault="007B5BC4" w:rsidP="007C046A">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AC62FC" w:rsidRPr="00AC62FC">
        <w:rPr>
          <w:rFonts w:ascii="Times New Roman" w:hAnsi="Times New Roman" w:cs="Times New Roman"/>
          <w:sz w:val="20"/>
          <w:szCs w:val="20"/>
        </w:rPr>
        <w:t>Homeowners who struggle with high electricity bills can save approximately 30% by using this expandable and modular battery energy storage system (BESS).</w:t>
      </w:r>
    </w:p>
    <w:p w14:paraId="47A5D4A1" w14:textId="02306D71" w:rsidR="00AC62FC" w:rsidRDefault="00AC62FC" w:rsidP="00AC62FC">
      <w:pPr>
        <w:spacing w:line="240" w:lineRule="auto"/>
        <w:jc w:val="center"/>
        <w:rPr>
          <w:rFonts w:ascii="Times New Roman" w:hAnsi="Times New Roman" w:cs="Times New Roman"/>
          <w:b/>
          <w:bCs/>
          <w:i/>
          <w:iCs/>
          <w:sz w:val="20"/>
          <w:szCs w:val="20"/>
        </w:rPr>
      </w:pPr>
      <w:r w:rsidRPr="00AC62FC">
        <w:rPr>
          <w:rFonts w:ascii="Times New Roman" w:hAnsi="Times New Roman" w:cs="Times New Roman"/>
          <w:b/>
          <w:bCs/>
          <w:i/>
          <w:iCs/>
          <w:sz w:val="20"/>
          <w:szCs w:val="20"/>
        </w:rPr>
        <w:t>B. Embedded sustainability</w:t>
      </w:r>
    </w:p>
    <w:p w14:paraId="25EB41AB" w14:textId="1C575D8A" w:rsidR="00AC62FC" w:rsidRDefault="00AC62FC" w:rsidP="00AC62FC">
      <w:pPr>
        <w:spacing w:line="240" w:lineRule="auto"/>
        <w:jc w:val="both"/>
        <w:rPr>
          <w:rFonts w:ascii="Times New Roman" w:hAnsi="Times New Roman" w:cs="Times New Roman"/>
          <w:sz w:val="20"/>
          <w:szCs w:val="20"/>
        </w:rPr>
      </w:pPr>
      <w:r w:rsidRPr="00AC62FC">
        <w:rPr>
          <w:rFonts w:ascii="Times New Roman" w:hAnsi="Times New Roman" w:cs="Times New Roman"/>
          <w:sz w:val="20"/>
          <w:szCs w:val="20"/>
        </w:rPr>
        <w:t>Using methods and tools that reduce environmental effect, encourage resource efficiency, and ensure the long-term viability of the energy storage solution are all part of integrating sustainability into battery energy storage systems (BESS). Targeting embedded sustainability in BESS requires taking into account the following important factors:</w:t>
      </w:r>
    </w:p>
    <w:p w14:paraId="40F0EB1B" w14:textId="52CDFB6E" w:rsidR="007C046A" w:rsidRDefault="00AC62FC" w:rsidP="00820FD1">
      <w:pPr>
        <w:pStyle w:val="ListParagraph"/>
        <w:numPr>
          <w:ilvl w:val="0"/>
          <w:numId w:val="3"/>
        </w:numPr>
        <w:spacing w:line="240" w:lineRule="auto"/>
        <w:jc w:val="both"/>
        <w:rPr>
          <w:rFonts w:ascii="Times New Roman" w:hAnsi="Times New Roman" w:cs="Times New Roman"/>
          <w:sz w:val="20"/>
          <w:szCs w:val="20"/>
        </w:rPr>
      </w:pPr>
      <w:r w:rsidRPr="00AC62FC">
        <w:rPr>
          <w:rFonts w:ascii="Times New Roman" w:hAnsi="Times New Roman" w:cs="Times New Roman"/>
          <w:sz w:val="20"/>
          <w:szCs w:val="20"/>
        </w:rPr>
        <w:t xml:space="preserve">Choosing the Right Battery Chemistry: Select battery chemistries with longer lifespans and less of an impact on the environment. </w:t>
      </w:r>
    </w:p>
    <w:p w14:paraId="7DEA6106" w14:textId="77777777" w:rsidR="00DA3B9D" w:rsidRDefault="00DA3B9D" w:rsidP="00DA3B9D">
      <w:pPr>
        <w:pStyle w:val="ListParagraph"/>
        <w:spacing w:line="240" w:lineRule="auto"/>
        <w:jc w:val="both"/>
        <w:rPr>
          <w:rFonts w:ascii="Times New Roman" w:hAnsi="Times New Roman" w:cs="Times New Roman"/>
          <w:sz w:val="20"/>
          <w:szCs w:val="20"/>
        </w:rPr>
      </w:pPr>
    </w:p>
    <w:p w14:paraId="2CF001D3" w14:textId="12B0D67C" w:rsidR="00AC62FC" w:rsidRDefault="00DA3B9D" w:rsidP="00DA3B9D">
      <w:pPr>
        <w:pStyle w:val="ListParagraph"/>
        <w:numPr>
          <w:ilvl w:val="0"/>
          <w:numId w:val="3"/>
        </w:numPr>
        <w:spacing w:line="240" w:lineRule="auto"/>
        <w:jc w:val="both"/>
        <w:rPr>
          <w:rFonts w:ascii="Times New Roman" w:hAnsi="Times New Roman" w:cs="Times New Roman"/>
          <w:sz w:val="20"/>
          <w:szCs w:val="20"/>
        </w:rPr>
      </w:pPr>
      <w:r w:rsidRPr="00DA3B9D">
        <w:rPr>
          <w:rFonts w:ascii="Times New Roman" w:hAnsi="Times New Roman" w:cs="Times New Roman"/>
          <w:sz w:val="20"/>
          <w:szCs w:val="20"/>
        </w:rPr>
        <w:t>Life Cycle Evaluation:</w:t>
      </w:r>
      <w:r>
        <w:rPr>
          <w:rFonts w:ascii="Times New Roman" w:hAnsi="Times New Roman" w:cs="Times New Roman"/>
          <w:sz w:val="20"/>
          <w:szCs w:val="20"/>
        </w:rPr>
        <w:t xml:space="preserve"> </w:t>
      </w:r>
      <w:r w:rsidRPr="00DA3B9D">
        <w:rPr>
          <w:rFonts w:ascii="Times New Roman" w:hAnsi="Times New Roman" w:cs="Times New Roman"/>
          <w:sz w:val="20"/>
          <w:szCs w:val="20"/>
        </w:rPr>
        <w:t>To evaluate the environmental impact of the whole BESS—from raw material extraction through manufacturing, operation, and end-of-life disposal—conduct a thorough lifecycle analysis. This guarantees a comprehensive grasp of sustainability and assists in identifying areas for improvement.</w:t>
      </w:r>
    </w:p>
    <w:p w14:paraId="541AF9CE" w14:textId="77777777" w:rsidR="00DA3B9D" w:rsidRPr="00DA3B9D" w:rsidRDefault="00DA3B9D" w:rsidP="00DA3B9D">
      <w:pPr>
        <w:pStyle w:val="ListParagraph"/>
        <w:rPr>
          <w:rFonts w:ascii="Times New Roman" w:hAnsi="Times New Roman" w:cs="Times New Roman"/>
          <w:sz w:val="20"/>
          <w:szCs w:val="20"/>
        </w:rPr>
      </w:pPr>
    </w:p>
    <w:p w14:paraId="4226586C" w14:textId="7F59C6FA" w:rsidR="00DA3B9D" w:rsidRPr="00DA3B9D" w:rsidRDefault="00DA3B9D" w:rsidP="00DA3B9D">
      <w:pPr>
        <w:pStyle w:val="ListParagraph"/>
        <w:numPr>
          <w:ilvl w:val="0"/>
          <w:numId w:val="3"/>
        </w:numPr>
        <w:spacing w:line="240" w:lineRule="auto"/>
        <w:jc w:val="both"/>
        <w:rPr>
          <w:rFonts w:ascii="Times New Roman" w:hAnsi="Times New Roman" w:cs="Times New Roman"/>
          <w:sz w:val="20"/>
          <w:szCs w:val="20"/>
        </w:rPr>
      </w:pPr>
      <w:r w:rsidRPr="00DA3B9D">
        <w:rPr>
          <w:rFonts w:ascii="Times New Roman" w:hAnsi="Times New Roman" w:cs="Times New Roman"/>
          <w:sz w:val="20"/>
          <w:szCs w:val="20"/>
        </w:rPr>
        <w:t>Recycling and Reuse: Give consideration to recyclability when designing BESS components. After batteries are used in BESS for the first time, investigate possibilities for reusing them in secondary applications. Establish procedures for the safe and effective recycling of batteries.</w:t>
      </w:r>
    </w:p>
    <w:p w14:paraId="18980476" w14:textId="77777777" w:rsidR="00DA3B9D" w:rsidRDefault="00DA3B9D" w:rsidP="00DA3B9D">
      <w:pPr>
        <w:spacing w:line="240" w:lineRule="auto"/>
        <w:jc w:val="both"/>
        <w:rPr>
          <w:rFonts w:ascii="Times New Roman" w:hAnsi="Times New Roman" w:cs="Times New Roman"/>
          <w:sz w:val="20"/>
          <w:szCs w:val="20"/>
        </w:rPr>
      </w:pPr>
    </w:p>
    <w:p w14:paraId="54D42C27" w14:textId="0874DABD" w:rsidR="005D68BD" w:rsidRDefault="00DA3B9D" w:rsidP="00F8509D">
      <w:pPr>
        <w:pStyle w:val="ListParagraph"/>
        <w:numPr>
          <w:ilvl w:val="0"/>
          <w:numId w:val="4"/>
        </w:numPr>
        <w:spacing w:line="240" w:lineRule="auto"/>
        <w:jc w:val="both"/>
        <w:rPr>
          <w:rFonts w:ascii="Times New Roman" w:hAnsi="Times New Roman" w:cs="Times New Roman"/>
          <w:sz w:val="20"/>
          <w:szCs w:val="20"/>
        </w:rPr>
      </w:pPr>
      <w:r w:rsidRPr="00DA3B9D">
        <w:rPr>
          <w:rFonts w:ascii="Times New Roman" w:hAnsi="Times New Roman" w:cs="Times New Roman"/>
          <w:sz w:val="20"/>
          <w:szCs w:val="20"/>
        </w:rPr>
        <w:t>Energy Effectiveness:</w:t>
      </w:r>
      <w:r>
        <w:rPr>
          <w:rFonts w:ascii="Times New Roman" w:hAnsi="Times New Roman" w:cs="Times New Roman"/>
          <w:sz w:val="20"/>
          <w:szCs w:val="20"/>
        </w:rPr>
        <w:t xml:space="preserve"> </w:t>
      </w:r>
      <w:r w:rsidRPr="00DA3B9D">
        <w:rPr>
          <w:rFonts w:ascii="Times New Roman" w:hAnsi="Times New Roman" w:cs="Times New Roman"/>
          <w:sz w:val="20"/>
          <w:szCs w:val="20"/>
        </w:rPr>
        <w:t>Enhance the BESS's energy efficiency to lower overall energy usage and increase the system's sustainability</w:t>
      </w:r>
      <w:r>
        <w:rPr>
          <w:rFonts w:ascii="Times New Roman" w:hAnsi="Times New Roman" w:cs="Times New Roman"/>
          <w:sz w:val="20"/>
          <w:szCs w:val="20"/>
        </w:rPr>
        <w:t>.</w:t>
      </w:r>
    </w:p>
    <w:p w14:paraId="1D6095F8" w14:textId="581616C1" w:rsidR="00F8509D" w:rsidRDefault="00F8509D" w:rsidP="00F8509D">
      <w:pPr>
        <w:spacing w:line="240" w:lineRule="auto"/>
        <w:jc w:val="both"/>
        <w:rPr>
          <w:rFonts w:ascii="Times New Roman" w:hAnsi="Times New Roman" w:cs="Times New Roman"/>
          <w:sz w:val="20"/>
          <w:szCs w:val="20"/>
        </w:rPr>
      </w:pPr>
      <w:r w:rsidRPr="00F8509D">
        <w:rPr>
          <w:rFonts w:ascii="Times New Roman" w:hAnsi="Times New Roman" w:cs="Times New Roman"/>
          <w:sz w:val="20"/>
          <w:szCs w:val="20"/>
        </w:rPr>
        <w:t xml:space="preserve"> </w:t>
      </w:r>
      <w:r>
        <w:rPr>
          <w:rFonts w:ascii="Times New Roman" w:hAnsi="Times New Roman" w:cs="Times New Roman"/>
          <w:sz w:val="20"/>
          <w:szCs w:val="20"/>
        </w:rPr>
        <w:t>R</w:t>
      </w:r>
      <w:r w:rsidRPr="00F8509D">
        <w:rPr>
          <w:rFonts w:ascii="Times New Roman" w:hAnsi="Times New Roman" w:cs="Times New Roman"/>
          <w:sz w:val="20"/>
          <w:szCs w:val="20"/>
        </w:rPr>
        <w:t xml:space="preserve">econditioned and certified Li-ion batteries last longer, using them in Battery Energy Storage Systems (BESS) can save money and help the environment. Nonetheless, a number of obstacles </w:t>
      </w:r>
      <w:r w:rsidRPr="00F8509D">
        <w:rPr>
          <w:rFonts w:ascii="Times New Roman" w:hAnsi="Times New Roman" w:cs="Times New Roman"/>
          <w:sz w:val="20"/>
          <w:szCs w:val="20"/>
        </w:rPr>
        <w:t>and possible issues must be properly handled to guarantee the BESS's dependability, security, and efficiency. The following are the principal issues with utilizing certified and reconditioned Li-ion batteries:</w:t>
      </w:r>
    </w:p>
    <w:p w14:paraId="0FBDE778" w14:textId="56B45B09" w:rsidR="00F8509D" w:rsidRDefault="00F8509D" w:rsidP="00F8509D">
      <w:pPr>
        <w:pStyle w:val="ListParagraph"/>
        <w:numPr>
          <w:ilvl w:val="0"/>
          <w:numId w:val="4"/>
        </w:numPr>
        <w:spacing w:line="240" w:lineRule="auto"/>
        <w:jc w:val="both"/>
        <w:rPr>
          <w:rFonts w:ascii="Times New Roman" w:hAnsi="Times New Roman" w:cs="Times New Roman"/>
          <w:sz w:val="20"/>
          <w:szCs w:val="20"/>
        </w:rPr>
      </w:pPr>
      <w:r w:rsidRPr="00F8509D">
        <w:rPr>
          <w:rFonts w:ascii="Times New Roman" w:hAnsi="Times New Roman" w:cs="Times New Roman"/>
          <w:sz w:val="20"/>
          <w:szCs w:val="20"/>
        </w:rPr>
        <w:t>Variations in Battery Efficiency: Even with certification, the performance of refurbished batteries can differ. Variations in the original batteries' age, usage history, and manufacturing techniques can cause variations in their capacity, efficiency, and general performance.</w:t>
      </w:r>
    </w:p>
    <w:p w14:paraId="7FB8C6F1" w14:textId="77777777" w:rsidR="00F8509D" w:rsidRDefault="00F8509D" w:rsidP="00F8509D">
      <w:pPr>
        <w:pStyle w:val="ListParagraph"/>
        <w:spacing w:line="240" w:lineRule="auto"/>
        <w:jc w:val="both"/>
        <w:rPr>
          <w:rFonts w:ascii="Times New Roman" w:hAnsi="Times New Roman" w:cs="Times New Roman"/>
          <w:sz w:val="20"/>
          <w:szCs w:val="20"/>
        </w:rPr>
      </w:pPr>
    </w:p>
    <w:p w14:paraId="2364BF22" w14:textId="17664567" w:rsidR="00F8509D" w:rsidRDefault="00F8509D" w:rsidP="00F8509D">
      <w:pPr>
        <w:pStyle w:val="ListParagraph"/>
        <w:numPr>
          <w:ilvl w:val="0"/>
          <w:numId w:val="4"/>
        </w:numPr>
        <w:spacing w:line="240" w:lineRule="auto"/>
        <w:jc w:val="both"/>
        <w:rPr>
          <w:rFonts w:ascii="Times New Roman" w:hAnsi="Times New Roman" w:cs="Times New Roman"/>
          <w:sz w:val="20"/>
          <w:szCs w:val="20"/>
        </w:rPr>
      </w:pPr>
      <w:r w:rsidRPr="00F8509D">
        <w:rPr>
          <w:rFonts w:ascii="Times New Roman" w:hAnsi="Times New Roman" w:cs="Times New Roman"/>
          <w:sz w:val="20"/>
          <w:szCs w:val="20"/>
        </w:rPr>
        <w:t>Remaining Lifecycle Limited:</w:t>
      </w:r>
      <w:r>
        <w:rPr>
          <w:rFonts w:ascii="Times New Roman" w:hAnsi="Times New Roman" w:cs="Times New Roman"/>
          <w:sz w:val="20"/>
          <w:szCs w:val="20"/>
        </w:rPr>
        <w:t xml:space="preserve"> </w:t>
      </w:r>
      <w:r w:rsidRPr="00F8509D">
        <w:rPr>
          <w:rFonts w:ascii="Times New Roman" w:hAnsi="Times New Roman" w:cs="Times New Roman"/>
          <w:sz w:val="20"/>
          <w:szCs w:val="20"/>
        </w:rPr>
        <w:t>Refurbished batteries might only have a shorter lifespan than new batteries, even with certification. This may have an effect on the BESS's long-term viability and necessitate more frequent replacements, which would decrease its advantages for the economy and the environment.</w:t>
      </w:r>
    </w:p>
    <w:p w14:paraId="0376D53C" w14:textId="77777777" w:rsidR="00F8509D" w:rsidRPr="00F8509D" w:rsidRDefault="00F8509D" w:rsidP="00F8509D">
      <w:pPr>
        <w:pStyle w:val="ListParagraph"/>
        <w:rPr>
          <w:rFonts w:ascii="Times New Roman" w:hAnsi="Times New Roman" w:cs="Times New Roman"/>
          <w:sz w:val="20"/>
          <w:szCs w:val="20"/>
        </w:rPr>
      </w:pPr>
    </w:p>
    <w:p w14:paraId="3279BDE5" w14:textId="52997499" w:rsidR="00F8509D" w:rsidRDefault="00F8509D" w:rsidP="00F8509D">
      <w:pPr>
        <w:pStyle w:val="ListParagraph"/>
        <w:numPr>
          <w:ilvl w:val="0"/>
          <w:numId w:val="4"/>
        </w:numPr>
        <w:spacing w:line="240" w:lineRule="auto"/>
        <w:jc w:val="both"/>
        <w:rPr>
          <w:rFonts w:ascii="Times New Roman" w:hAnsi="Times New Roman" w:cs="Times New Roman"/>
          <w:sz w:val="20"/>
          <w:szCs w:val="20"/>
        </w:rPr>
      </w:pPr>
      <w:r w:rsidRPr="00F8509D">
        <w:rPr>
          <w:rFonts w:ascii="Times New Roman" w:hAnsi="Times New Roman" w:cs="Times New Roman"/>
          <w:sz w:val="20"/>
          <w:szCs w:val="20"/>
        </w:rPr>
        <w:t>Problems Compatibility</w:t>
      </w:r>
      <w:r>
        <w:rPr>
          <w:rFonts w:ascii="Times New Roman" w:hAnsi="Times New Roman" w:cs="Times New Roman"/>
          <w:sz w:val="20"/>
          <w:szCs w:val="20"/>
        </w:rPr>
        <w:t xml:space="preserve">: </w:t>
      </w:r>
      <w:r w:rsidRPr="00F8509D">
        <w:rPr>
          <w:rFonts w:ascii="Times New Roman" w:hAnsi="Times New Roman" w:cs="Times New Roman"/>
          <w:sz w:val="20"/>
          <w:szCs w:val="20"/>
        </w:rPr>
        <w:t xml:space="preserve"> issues may arise when integrating reconditioned batteries with brand-new or used battery packs. Variations in battery chemistry, charge-discharge characteristics, or communication protocols can result in subpar performance or potential safety hazards.</w:t>
      </w:r>
    </w:p>
    <w:p w14:paraId="6490B58E" w14:textId="77777777" w:rsidR="00F8509D" w:rsidRPr="00F8509D" w:rsidRDefault="00F8509D" w:rsidP="00F8509D">
      <w:pPr>
        <w:pStyle w:val="ListParagraph"/>
        <w:rPr>
          <w:rFonts w:ascii="Times New Roman" w:hAnsi="Times New Roman" w:cs="Times New Roman"/>
          <w:sz w:val="20"/>
          <w:szCs w:val="20"/>
        </w:rPr>
      </w:pPr>
    </w:p>
    <w:p w14:paraId="7A8F3FD5" w14:textId="13871AB9" w:rsidR="00F8509D" w:rsidRDefault="00F8509D" w:rsidP="00F8509D">
      <w:pPr>
        <w:pStyle w:val="ListParagraph"/>
        <w:numPr>
          <w:ilvl w:val="0"/>
          <w:numId w:val="4"/>
        </w:numPr>
        <w:spacing w:line="240" w:lineRule="auto"/>
        <w:jc w:val="both"/>
        <w:rPr>
          <w:rFonts w:ascii="Times New Roman" w:hAnsi="Times New Roman" w:cs="Times New Roman"/>
          <w:sz w:val="20"/>
          <w:szCs w:val="20"/>
        </w:rPr>
      </w:pPr>
      <w:r w:rsidRPr="00F8509D">
        <w:rPr>
          <w:rFonts w:ascii="Times New Roman" w:hAnsi="Times New Roman" w:cs="Times New Roman"/>
          <w:sz w:val="20"/>
          <w:szCs w:val="20"/>
        </w:rPr>
        <w:t>Warranty Restrictions: Compared to new batteries, refurbished batteries frequently have minimal or no warranties. The absence of warranty protection may put you at risk financially if unanticipated problems occur while the BESS is in use.</w:t>
      </w:r>
    </w:p>
    <w:p w14:paraId="7A0C1621" w14:textId="77777777" w:rsidR="00F8509D" w:rsidRPr="00F8509D" w:rsidRDefault="00F8509D" w:rsidP="00F8509D">
      <w:pPr>
        <w:pStyle w:val="ListParagraph"/>
        <w:rPr>
          <w:rFonts w:ascii="Times New Roman" w:hAnsi="Times New Roman" w:cs="Times New Roman"/>
          <w:sz w:val="20"/>
          <w:szCs w:val="20"/>
        </w:rPr>
      </w:pPr>
    </w:p>
    <w:p w14:paraId="713ADBB8" w14:textId="6CD142C3" w:rsidR="00F8509D" w:rsidRDefault="00F8509D" w:rsidP="00F8509D">
      <w:pPr>
        <w:spacing w:line="240" w:lineRule="auto"/>
        <w:jc w:val="center"/>
        <w:rPr>
          <w:rFonts w:ascii="Times New Roman" w:hAnsi="Times New Roman" w:cs="Times New Roman"/>
          <w:b/>
          <w:bCs/>
          <w:i/>
          <w:iCs/>
          <w:sz w:val="20"/>
          <w:szCs w:val="20"/>
        </w:rPr>
      </w:pPr>
      <w:r w:rsidRPr="00F8509D">
        <w:rPr>
          <w:rFonts w:ascii="Times New Roman" w:hAnsi="Times New Roman" w:cs="Times New Roman"/>
          <w:b/>
          <w:bCs/>
          <w:i/>
          <w:iCs/>
          <w:sz w:val="20"/>
          <w:szCs w:val="20"/>
        </w:rPr>
        <w:t>C. Refurbished and certified Li-Ion batteries.</w:t>
      </w:r>
    </w:p>
    <w:p w14:paraId="684194E2" w14:textId="200590D5" w:rsidR="00460531" w:rsidRDefault="00460531" w:rsidP="00F8509D">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460531">
        <w:rPr>
          <w:rFonts w:ascii="Times New Roman" w:hAnsi="Times New Roman" w:cs="Times New Roman"/>
          <w:sz w:val="20"/>
          <w:szCs w:val="20"/>
        </w:rPr>
        <w:t>Used Li-ion batteries that have undergone a rigorous inspection, testing, and refurbishment process to guarantee they meet particular performance and safety standards are known as certified and refurbished Li-ion batteries. The objective is to decrease electronic waste, increase the lifespan of these batteries, and offer a reasonably priced substitute for brand-new batteries.</w:t>
      </w:r>
      <w:r>
        <w:rPr>
          <w:rFonts w:ascii="Times New Roman" w:hAnsi="Times New Roman" w:cs="Times New Roman"/>
          <w:sz w:val="20"/>
          <w:szCs w:val="20"/>
        </w:rPr>
        <w:t xml:space="preserve"> </w:t>
      </w:r>
    </w:p>
    <w:p w14:paraId="296D8220" w14:textId="411C22B6" w:rsidR="00F8509D" w:rsidRDefault="004C3F9C" w:rsidP="00A92DE9">
      <w:pPr>
        <w:spacing w:line="240" w:lineRule="auto"/>
        <w:jc w:val="center"/>
        <w:rPr>
          <w:rFonts w:ascii="Times New Roman" w:hAnsi="Times New Roman" w:cs="Times New Roman"/>
          <w:b/>
          <w:bCs/>
          <w:sz w:val="20"/>
          <w:szCs w:val="20"/>
        </w:rPr>
      </w:pPr>
      <w:r>
        <w:rPr>
          <w:rFonts w:ascii="Times New Roman" w:hAnsi="Times New Roman" w:cs="Times New Roman"/>
          <w:b/>
          <w:bCs/>
          <w:sz w:val="20"/>
          <w:szCs w:val="20"/>
        </w:rPr>
        <w:t>I</w:t>
      </w:r>
      <w:r w:rsidR="00A92DE9" w:rsidRPr="00A92DE9">
        <w:rPr>
          <w:rFonts w:ascii="Times New Roman" w:hAnsi="Times New Roman" w:cs="Times New Roman"/>
          <w:b/>
          <w:bCs/>
          <w:sz w:val="20"/>
          <w:szCs w:val="20"/>
        </w:rPr>
        <w:t>V.</w:t>
      </w:r>
      <w:r w:rsidR="00A92DE9">
        <w:rPr>
          <w:rFonts w:ascii="Times New Roman" w:hAnsi="Times New Roman" w:cs="Times New Roman"/>
          <w:b/>
          <w:bCs/>
          <w:sz w:val="20"/>
          <w:szCs w:val="20"/>
        </w:rPr>
        <w:t xml:space="preserve"> </w:t>
      </w:r>
      <w:r w:rsidR="00A92DE9" w:rsidRPr="00A92DE9">
        <w:rPr>
          <w:rFonts w:ascii="Times New Roman" w:hAnsi="Times New Roman" w:cs="Times New Roman"/>
          <w:b/>
          <w:bCs/>
          <w:sz w:val="20"/>
          <w:szCs w:val="20"/>
        </w:rPr>
        <w:t>SELF SUFFICIENCY OF ENERGY COMMUNITY BY COMMON ENERGY THERMAL STORAGE</w:t>
      </w:r>
    </w:p>
    <w:p w14:paraId="57506223" w14:textId="412389D6" w:rsidR="00A92DE9" w:rsidRDefault="00A92DE9" w:rsidP="00A92DE9">
      <w:pPr>
        <w:spacing w:line="240" w:lineRule="auto"/>
        <w:jc w:val="both"/>
        <w:rPr>
          <w:rFonts w:ascii="Times New Roman" w:hAnsi="Times New Roman" w:cs="Times New Roman"/>
          <w:sz w:val="20"/>
          <w:szCs w:val="20"/>
        </w:rPr>
      </w:pPr>
      <w:r w:rsidRPr="00A92DE9">
        <w:rPr>
          <w:rFonts w:ascii="Times New Roman" w:hAnsi="Times New Roman" w:cs="Times New Roman"/>
          <w:sz w:val="20"/>
          <w:szCs w:val="20"/>
        </w:rPr>
        <w:t xml:space="preserve">The grid load is directly impacted by the energy consumption patterns of customers, particularly during peak hours. Demand response (DR) management has been used in a variety of control strategies to move energy consumption to off-peak hours in recent years. Optimization is essential for </w:t>
      </w:r>
      <w:r>
        <w:rPr>
          <w:rFonts w:ascii="Times New Roman" w:hAnsi="Times New Roman" w:cs="Times New Roman"/>
          <w:sz w:val="20"/>
          <w:szCs w:val="20"/>
        </w:rPr>
        <w:lastRenderedPageBreak/>
        <w:t>demand response (</w:t>
      </w:r>
      <w:r w:rsidRPr="00A92DE9">
        <w:rPr>
          <w:rFonts w:ascii="Times New Roman" w:hAnsi="Times New Roman" w:cs="Times New Roman"/>
          <w:sz w:val="20"/>
          <w:szCs w:val="20"/>
        </w:rPr>
        <w:t>DR</w:t>
      </w:r>
      <w:r>
        <w:rPr>
          <w:rFonts w:ascii="Times New Roman" w:hAnsi="Times New Roman" w:cs="Times New Roman"/>
          <w:sz w:val="20"/>
          <w:szCs w:val="20"/>
        </w:rPr>
        <w:t>)</w:t>
      </w:r>
      <w:r w:rsidRPr="00A92DE9">
        <w:rPr>
          <w:rFonts w:ascii="Times New Roman" w:hAnsi="Times New Roman" w:cs="Times New Roman"/>
          <w:sz w:val="20"/>
          <w:szCs w:val="20"/>
        </w:rPr>
        <w:t xml:space="preserve"> energy management to be successful. Therefore, in order to increase customer participation, it is necessary to increase the benefits offered to them and encourage them to incorporate the new controlling approaches into their daily energy consumption pattern. However, the integration of renewables into buildings lowers their energy costs and reduces their reliance on grid utilities</w:t>
      </w:r>
      <w:r w:rsidR="001A33D5">
        <w:rPr>
          <w:rFonts w:ascii="Times New Roman" w:hAnsi="Times New Roman" w:cs="Times New Roman"/>
          <w:sz w:val="20"/>
          <w:szCs w:val="20"/>
        </w:rPr>
        <w:t xml:space="preserve"> [5]</w:t>
      </w:r>
      <w:r w:rsidRPr="00A92DE9">
        <w:rPr>
          <w:rFonts w:ascii="Times New Roman" w:hAnsi="Times New Roman" w:cs="Times New Roman"/>
          <w:sz w:val="20"/>
          <w:szCs w:val="20"/>
        </w:rPr>
        <w:t>.</w:t>
      </w:r>
      <w:r w:rsidR="001A33D5">
        <w:rPr>
          <w:rFonts w:ascii="Times New Roman" w:hAnsi="Times New Roman" w:cs="Times New Roman"/>
          <w:sz w:val="20"/>
          <w:szCs w:val="20"/>
        </w:rPr>
        <w:t xml:space="preserve"> </w:t>
      </w:r>
      <w:r w:rsidR="006D081D">
        <w:rPr>
          <w:rFonts w:ascii="Times New Roman" w:hAnsi="Times New Roman" w:cs="Times New Roman"/>
          <w:sz w:val="20"/>
          <w:szCs w:val="20"/>
        </w:rPr>
        <w:t xml:space="preserve"> </w:t>
      </w:r>
      <w:r w:rsidR="006D081D" w:rsidRPr="006D081D">
        <w:rPr>
          <w:rFonts w:ascii="Times New Roman" w:hAnsi="Times New Roman" w:cs="Times New Roman"/>
          <w:sz w:val="20"/>
          <w:szCs w:val="20"/>
        </w:rPr>
        <w:t>It examines a collection of homes with various living spaces and PV panel diameters. These homes' expenses and energy usage are evaluated in two scenarios. Each unit in the first scenario has a separate distributed thermal energy storage system. In the second example, a neighbo</w:t>
      </w:r>
      <w:r w:rsidR="006D081D">
        <w:rPr>
          <w:rFonts w:ascii="Times New Roman" w:hAnsi="Times New Roman" w:cs="Times New Roman"/>
          <w:sz w:val="20"/>
          <w:szCs w:val="20"/>
        </w:rPr>
        <w:t>u</w:t>
      </w:r>
      <w:r w:rsidR="006D081D" w:rsidRPr="006D081D">
        <w:rPr>
          <w:rFonts w:ascii="Times New Roman" w:hAnsi="Times New Roman" w:cs="Times New Roman"/>
          <w:sz w:val="20"/>
          <w:szCs w:val="20"/>
        </w:rPr>
        <w:t>rhood of homes with shared central thermal energy storage is taken into account. The goal of the homes and the community is to reduce import and export power in order to increase self-sufficiency</w:t>
      </w:r>
      <w:r w:rsidR="006D081D">
        <w:rPr>
          <w:rFonts w:ascii="Times New Roman" w:hAnsi="Times New Roman" w:cs="Times New Roman"/>
          <w:sz w:val="20"/>
          <w:szCs w:val="20"/>
        </w:rPr>
        <w:t xml:space="preserve"> [5]</w:t>
      </w:r>
      <w:r w:rsidR="006D081D" w:rsidRPr="006D081D">
        <w:rPr>
          <w:rFonts w:ascii="Times New Roman" w:hAnsi="Times New Roman" w:cs="Times New Roman"/>
          <w:sz w:val="20"/>
          <w:szCs w:val="20"/>
        </w:rPr>
        <w:t>.</w:t>
      </w:r>
    </w:p>
    <w:p w14:paraId="3B3FEE60" w14:textId="52143F38" w:rsidR="006D081D" w:rsidRPr="006D081D" w:rsidRDefault="006D081D" w:rsidP="006D081D">
      <w:pPr>
        <w:spacing w:line="240" w:lineRule="auto"/>
        <w:jc w:val="center"/>
        <w:rPr>
          <w:rFonts w:ascii="Times New Roman" w:hAnsi="Times New Roman" w:cs="Times New Roman"/>
          <w:b/>
          <w:bCs/>
          <w:i/>
          <w:iCs/>
          <w:sz w:val="20"/>
          <w:szCs w:val="20"/>
        </w:rPr>
      </w:pPr>
      <w:r w:rsidRPr="006D081D">
        <w:rPr>
          <w:rFonts w:ascii="Times New Roman" w:hAnsi="Times New Roman" w:cs="Times New Roman"/>
          <w:b/>
          <w:bCs/>
          <w:i/>
          <w:iCs/>
          <w:sz w:val="20"/>
          <w:szCs w:val="20"/>
        </w:rPr>
        <w:t>A. System Modelling</w:t>
      </w:r>
    </w:p>
    <w:p w14:paraId="5459A093" w14:textId="0BF6C151" w:rsidR="00955791" w:rsidRDefault="002D7091" w:rsidP="002D7091">
      <w:pPr>
        <w:spacing w:line="240" w:lineRule="auto"/>
        <w:jc w:val="both"/>
        <w:rPr>
          <w:rFonts w:ascii="Times New Roman" w:hAnsi="Times New Roman" w:cs="Times New Roman"/>
          <w:sz w:val="20"/>
          <w:szCs w:val="20"/>
        </w:rPr>
      </w:pPr>
      <w:r w:rsidRPr="002D7091">
        <w:rPr>
          <w:rFonts w:ascii="Times New Roman" w:hAnsi="Times New Roman" w:cs="Times New Roman"/>
          <w:sz w:val="20"/>
          <w:szCs w:val="20"/>
          <w:lang w:val="en-US"/>
        </w:rPr>
        <w:t>In the context of energy communities, self-sufficiency pertains to the capacity of the community to fulfill its own energy requirements, frequently by producing and storing renewable energy. In order to achieve self-sufficiency, a typical energy thermal storage system can be very helpful. It stores excess energy when it is available and releases it when demand is high or renewable energy generation is low.</w:t>
      </w:r>
      <w:r>
        <w:rPr>
          <w:rFonts w:ascii="Times New Roman" w:hAnsi="Times New Roman" w:cs="Times New Roman"/>
          <w:sz w:val="20"/>
          <w:szCs w:val="20"/>
          <w:lang w:val="en-US"/>
        </w:rPr>
        <w:t xml:space="preserve"> </w:t>
      </w:r>
      <w:r w:rsidRPr="002D7091">
        <w:rPr>
          <w:rFonts w:ascii="Times New Roman" w:hAnsi="Times New Roman" w:cs="Times New Roman"/>
          <w:sz w:val="20"/>
          <w:szCs w:val="20"/>
          <w:lang w:val="en-US"/>
        </w:rPr>
        <w:t xml:space="preserve">It </w:t>
      </w:r>
      <w:r w:rsidRPr="002D7091">
        <w:rPr>
          <w:rFonts w:ascii="Times New Roman" w:hAnsi="Times New Roman" w:cs="Times New Roman"/>
          <w:sz w:val="20"/>
          <w:szCs w:val="20"/>
        </w:rPr>
        <w:t>assesses two cases including houses with individual thermal storage and a community of houses with common thermal storage.</w:t>
      </w:r>
      <w:r w:rsidR="00955791">
        <w:rPr>
          <w:rFonts w:ascii="Times New Roman" w:hAnsi="Times New Roman" w:cs="Times New Roman"/>
          <w:sz w:val="20"/>
          <w:szCs w:val="20"/>
        </w:rPr>
        <w:t xml:space="preserve"> In the case</w:t>
      </w:r>
      <w:r w:rsidR="006F35C0">
        <w:rPr>
          <w:rFonts w:ascii="Times New Roman" w:hAnsi="Times New Roman" w:cs="Times New Roman"/>
          <w:sz w:val="20"/>
          <w:szCs w:val="20"/>
        </w:rPr>
        <w:t xml:space="preserve"> 1</w:t>
      </w:r>
      <w:r w:rsidR="00955791">
        <w:rPr>
          <w:rFonts w:ascii="Times New Roman" w:hAnsi="Times New Roman" w:cs="Times New Roman"/>
          <w:sz w:val="20"/>
          <w:szCs w:val="20"/>
        </w:rPr>
        <w:t xml:space="preserve"> of individual houses </w:t>
      </w:r>
      <w:r w:rsidR="00955791" w:rsidRPr="00955791">
        <w:rPr>
          <w:rFonts w:ascii="Times New Roman" w:hAnsi="Times New Roman" w:cs="Times New Roman"/>
          <w:sz w:val="20"/>
          <w:szCs w:val="20"/>
        </w:rPr>
        <w:t>Every home is presumed to have a distinct gross floor area, a sizeable photovoltaic panel, and independent energy generation and consumption.</w:t>
      </w:r>
      <w:r w:rsidR="00955791">
        <w:rPr>
          <w:rFonts w:ascii="Times New Roman" w:hAnsi="Times New Roman" w:cs="Times New Roman"/>
          <w:sz w:val="20"/>
          <w:szCs w:val="20"/>
        </w:rPr>
        <w:t xml:space="preserve"> </w:t>
      </w:r>
      <w:r w:rsidR="00955791" w:rsidRPr="00955791">
        <w:rPr>
          <w:rFonts w:ascii="Times New Roman" w:hAnsi="Times New Roman" w:cs="Times New Roman"/>
          <w:sz w:val="20"/>
          <w:szCs w:val="20"/>
        </w:rPr>
        <w:t>Thermal energy storage (TES) is what the storage is regarded as. A demand response control system is necessary to execute supply and demand matching when storage is used</w:t>
      </w:r>
      <w:r w:rsidR="00955791">
        <w:rPr>
          <w:rFonts w:ascii="Times New Roman" w:hAnsi="Times New Roman" w:cs="Times New Roman"/>
          <w:sz w:val="20"/>
          <w:szCs w:val="20"/>
        </w:rPr>
        <w:t xml:space="preserve"> [5]</w:t>
      </w:r>
      <w:r w:rsidR="00955791" w:rsidRPr="00955791">
        <w:rPr>
          <w:rFonts w:ascii="Times New Roman" w:hAnsi="Times New Roman" w:cs="Times New Roman"/>
          <w:sz w:val="20"/>
          <w:szCs w:val="20"/>
        </w:rPr>
        <w:t>.</w:t>
      </w:r>
      <w:r w:rsidR="00955791">
        <w:rPr>
          <w:rFonts w:ascii="Times New Roman" w:hAnsi="Times New Roman" w:cs="Times New Roman"/>
          <w:sz w:val="20"/>
          <w:szCs w:val="20"/>
        </w:rPr>
        <w:t xml:space="preserve"> </w:t>
      </w:r>
      <w:r w:rsidR="009B5B84">
        <w:rPr>
          <w:rFonts w:ascii="Times New Roman" w:hAnsi="Times New Roman" w:cs="Times New Roman"/>
          <w:sz w:val="20"/>
          <w:szCs w:val="20"/>
        </w:rPr>
        <w:t xml:space="preserve"> T</w:t>
      </w:r>
      <w:r w:rsidR="009B5B84" w:rsidRPr="009B5B84">
        <w:rPr>
          <w:rFonts w:ascii="Times New Roman" w:hAnsi="Times New Roman" w:cs="Times New Roman"/>
          <w:sz w:val="20"/>
          <w:szCs w:val="20"/>
        </w:rPr>
        <w:t>o reduce the amount of power imported and exported while taking the price of electricity into account as a weighting factor in this function.</w:t>
      </w:r>
    </w:p>
    <w:p w14:paraId="5C6C1225" w14:textId="34452619" w:rsidR="009B5B84" w:rsidRDefault="00B5530F" w:rsidP="002D7091">
      <w:pPr>
        <w:spacing w:line="240" w:lineRule="auto"/>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Min</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t=1</m:t>
            </m:r>
          </m:sub>
          <m:sup>
            <m:r>
              <w:rPr>
                <w:rFonts w:ascii="Cambria Math" w:hAnsi="Cambria Math" w:cs="Times New Roman"/>
                <w:sz w:val="20"/>
                <w:szCs w:val="20"/>
              </w:rPr>
              <m:t>8760</m:t>
            </m:r>
          </m:sup>
          <m:e>
            <m:r>
              <w:rPr>
                <w:rFonts w:ascii="Cambria Math" w:hAnsi="Cambria Math" w:cs="Times New Roman"/>
                <w:sz w:val="20"/>
                <w:szCs w:val="20"/>
              </w:rPr>
              <m:t>(Pimp</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Wimp</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+Pexp</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Wexp</m:t>
            </m:r>
            <m:d>
              <m:dPr>
                <m:ctrlPr>
                  <w:rPr>
                    <w:rFonts w:ascii="Cambria Math" w:hAnsi="Cambria Math" w:cs="Times New Roman"/>
                    <w:i/>
                    <w:sz w:val="20"/>
                    <w:szCs w:val="20"/>
                  </w:rPr>
                </m:ctrlPr>
              </m:dPr>
              <m:e>
                <m:r>
                  <w:rPr>
                    <w:rFonts w:ascii="Cambria Math" w:hAnsi="Cambria Math" w:cs="Times New Roman"/>
                    <w:sz w:val="20"/>
                    <w:szCs w:val="20"/>
                  </w:rPr>
                  <m:t>t</m:t>
                </m:r>
              </m:e>
            </m:d>
            <m:r>
              <w:rPr>
                <w:rFonts w:ascii="Cambria Math" w:hAnsi="Cambria Math" w:cs="Times New Roman"/>
                <w:sz w:val="20"/>
                <w:szCs w:val="20"/>
              </w:rPr>
              <m:t>)</m:t>
            </m:r>
          </m:e>
        </m:nary>
      </m:oMath>
    </w:p>
    <w:p w14:paraId="5590DAE4" w14:textId="0B35B813" w:rsidR="00B5530F" w:rsidRDefault="00B5530F" w:rsidP="002D7091">
      <w:pPr>
        <w:spacing w:line="240" w:lineRule="auto"/>
        <w:jc w:val="both"/>
        <w:rPr>
          <w:rFonts w:ascii="Times New Roman" w:hAnsi="Times New Roman" w:cs="Times New Roman"/>
          <w:sz w:val="20"/>
          <w:szCs w:val="20"/>
        </w:rPr>
      </w:pPr>
      <w:r w:rsidRPr="00B5530F">
        <w:rPr>
          <w:rFonts w:ascii="Times New Roman" w:hAnsi="Times New Roman" w:cs="Times New Roman"/>
          <w:sz w:val="20"/>
          <w:szCs w:val="20"/>
        </w:rPr>
        <w:t>As the price model that is used has different values for buying electricity price (</w:t>
      </w:r>
      <w:r>
        <w:rPr>
          <w:rFonts w:ascii="Times New Roman" w:hAnsi="Times New Roman" w:cs="Times New Roman"/>
          <w:sz w:val="20"/>
          <w:szCs w:val="20"/>
        </w:rPr>
        <w:t>W</w:t>
      </w:r>
      <w:r w:rsidRPr="00B5530F">
        <w:rPr>
          <w:rFonts w:ascii="Times New Roman" w:hAnsi="Times New Roman" w:cs="Times New Roman"/>
          <w:sz w:val="20"/>
          <w:szCs w:val="20"/>
        </w:rPr>
        <w:t>imp) and selling electricity price (</w:t>
      </w:r>
      <w:r>
        <w:rPr>
          <w:rFonts w:ascii="Times New Roman" w:hAnsi="Times New Roman" w:cs="Times New Roman"/>
          <w:sz w:val="20"/>
          <w:szCs w:val="20"/>
        </w:rPr>
        <w:t>W</w:t>
      </w:r>
      <w:r w:rsidRPr="00B5530F">
        <w:rPr>
          <w:rFonts w:ascii="Times New Roman" w:hAnsi="Times New Roman" w:cs="Times New Roman"/>
          <w:sz w:val="20"/>
          <w:szCs w:val="20"/>
        </w:rPr>
        <w:t>exp), the imported power (</w:t>
      </w:r>
      <w:r>
        <w:rPr>
          <w:rFonts w:ascii="Times New Roman" w:hAnsi="Times New Roman" w:cs="Times New Roman"/>
          <w:sz w:val="20"/>
          <w:szCs w:val="20"/>
        </w:rPr>
        <w:t>Pi</w:t>
      </w:r>
      <w:r w:rsidRPr="00B5530F">
        <w:rPr>
          <w:rFonts w:ascii="Times New Roman" w:hAnsi="Times New Roman" w:cs="Times New Roman"/>
          <w:sz w:val="20"/>
          <w:szCs w:val="20"/>
        </w:rPr>
        <w:t>mp) and exported power (</w:t>
      </w:r>
      <w:r>
        <w:rPr>
          <w:rFonts w:ascii="Times New Roman" w:hAnsi="Times New Roman" w:cs="Times New Roman"/>
          <w:sz w:val="20"/>
          <w:szCs w:val="20"/>
        </w:rPr>
        <w:t>P</w:t>
      </w:r>
      <w:r w:rsidRPr="00B5530F">
        <w:rPr>
          <w:rFonts w:ascii="Times New Roman" w:hAnsi="Times New Roman" w:cs="Times New Roman"/>
          <w:sz w:val="20"/>
          <w:szCs w:val="20"/>
        </w:rPr>
        <w:t>exp) should be considered separately. Roughly one-third of the purchase price is thought to be the selling price.</w:t>
      </w:r>
    </w:p>
    <w:p w14:paraId="7E71992E" w14:textId="391C43D0" w:rsidR="00B5530F" w:rsidRDefault="00B5530F" w:rsidP="002D7091">
      <w:pPr>
        <w:spacing w:line="240" w:lineRule="auto"/>
        <w:jc w:val="both"/>
        <w:rPr>
          <w:rFonts w:ascii="Times New Roman" w:hAnsi="Times New Roman" w:cs="Times New Roman"/>
          <w:sz w:val="20"/>
          <w:szCs w:val="20"/>
        </w:rPr>
      </w:pPr>
      <w:r w:rsidRPr="00B5530F">
        <w:rPr>
          <w:rFonts w:ascii="Times New Roman" w:hAnsi="Times New Roman" w:cs="Times New Roman"/>
          <w:sz w:val="20"/>
          <w:szCs w:val="20"/>
        </w:rPr>
        <w:t>Pimp (t) + Psolar (t) − Pload (t) − Pexp (t) + Psto (t) = 0</w:t>
      </w:r>
      <w:r>
        <w:rPr>
          <w:rFonts w:ascii="Times New Roman" w:hAnsi="Times New Roman" w:cs="Times New Roman"/>
          <w:sz w:val="20"/>
          <w:szCs w:val="20"/>
        </w:rPr>
        <w:t>.</w:t>
      </w:r>
    </w:p>
    <w:p w14:paraId="40EED252" w14:textId="1B99E6E4" w:rsidR="006C7F76" w:rsidRDefault="006C7F76" w:rsidP="002D7091">
      <w:pPr>
        <w:spacing w:line="240" w:lineRule="auto"/>
        <w:jc w:val="both"/>
        <w:rPr>
          <w:rFonts w:ascii="Times New Roman" w:hAnsi="Times New Roman" w:cs="Times New Roman"/>
          <w:sz w:val="20"/>
          <w:szCs w:val="20"/>
        </w:rPr>
      </w:pPr>
      <w:r w:rsidRPr="006C7F76">
        <w:rPr>
          <w:rFonts w:ascii="Times New Roman" w:hAnsi="Times New Roman" w:cs="Times New Roman"/>
          <w:sz w:val="20"/>
          <w:szCs w:val="20"/>
        </w:rPr>
        <w:t xml:space="preserve">In this instance, the homes that are next to each other in case 1 are regarded as a single community network. As in case 1, it is assumed that every home has a photovoltaic system of its own and that consumption patterns remain unchanged. Instead of individual storage units, a single communal thermal </w:t>
      </w:r>
      <w:r w:rsidRPr="006C7F76">
        <w:rPr>
          <w:rFonts w:ascii="Times New Roman" w:hAnsi="Times New Roman" w:cs="Times New Roman"/>
          <w:sz w:val="20"/>
          <w:szCs w:val="20"/>
        </w:rPr>
        <w:t>storage is taken into consideration for the community area. To ensure that the supply and demand of the community units are suitably balanced, the size of the common thermal storage should be optimized</w:t>
      </w:r>
      <w:r>
        <w:rPr>
          <w:rFonts w:ascii="Times New Roman" w:hAnsi="Times New Roman" w:cs="Times New Roman"/>
          <w:sz w:val="20"/>
          <w:szCs w:val="20"/>
        </w:rPr>
        <w:t xml:space="preserve"> [5]</w:t>
      </w:r>
      <w:r w:rsidRPr="006C7F76">
        <w:rPr>
          <w:rFonts w:ascii="Times New Roman" w:hAnsi="Times New Roman" w:cs="Times New Roman"/>
          <w:sz w:val="20"/>
          <w:szCs w:val="20"/>
        </w:rPr>
        <w:t>.</w:t>
      </w:r>
    </w:p>
    <w:p w14:paraId="31840E1A" w14:textId="77777777" w:rsidR="00247084" w:rsidRDefault="00247084" w:rsidP="002D7091">
      <w:pPr>
        <w:spacing w:line="240" w:lineRule="auto"/>
        <w:jc w:val="both"/>
        <w:rPr>
          <w:rFonts w:ascii="Times New Roman" w:hAnsi="Times New Roman" w:cs="Times New Roman"/>
          <w:sz w:val="20"/>
          <w:szCs w:val="20"/>
        </w:rPr>
      </w:pPr>
    </w:p>
    <w:p w14:paraId="0894D286" w14:textId="77777777" w:rsidR="00247084" w:rsidRDefault="00247084" w:rsidP="00247084">
      <w:pPr>
        <w:spacing w:line="240" w:lineRule="auto"/>
        <w:jc w:val="center"/>
        <w:rPr>
          <w:rFonts w:ascii="Times New Roman" w:hAnsi="Times New Roman" w:cs="Times New Roman"/>
          <w:sz w:val="20"/>
          <w:szCs w:val="20"/>
        </w:rPr>
      </w:pPr>
      <w:r w:rsidRPr="00247084">
        <w:rPr>
          <w:rFonts w:ascii="Times New Roman" w:hAnsi="Times New Roman" w:cs="Times New Roman"/>
          <w:b/>
          <w:bCs/>
          <w:i/>
          <w:iCs/>
          <w:sz w:val="20"/>
          <w:szCs w:val="20"/>
        </w:rPr>
        <w:t>B. problems and possible issues are identified</w:t>
      </w:r>
      <w:r w:rsidRPr="00247084">
        <w:rPr>
          <w:rFonts w:ascii="Times New Roman" w:hAnsi="Times New Roman" w:cs="Times New Roman"/>
          <w:sz w:val="20"/>
          <w:szCs w:val="20"/>
        </w:rPr>
        <w:t>:</w:t>
      </w:r>
    </w:p>
    <w:p w14:paraId="252958FE" w14:textId="3DBFF7DE" w:rsidR="00247084" w:rsidRPr="00247084" w:rsidRDefault="00247084" w:rsidP="00247084">
      <w:pPr>
        <w:spacing w:line="240" w:lineRule="auto"/>
        <w:jc w:val="both"/>
        <w:rPr>
          <w:rFonts w:ascii="Times New Roman" w:hAnsi="Times New Roman" w:cs="Times New Roman"/>
          <w:sz w:val="20"/>
          <w:szCs w:val="20"/>
        </w:rPr>
      </w:pPr>
      <w:r w:rsidRPr="00247084">
        <w:rPr>
          <w:rFonts w:ascii="Times New Roman" w:hAnsi="Times New Roman" w:cs="Times New Roman"/>
          <w:sz w:val="20"/>
          <w:szCs w:val="20"/>
        </w:rPr>
        <w:t>Even though a common energy thermal storage system can make a big difference in an energy community's ability to be self-sufficient, there are drawbacks and difficulties that should be carefully considered. The following problems and possible issues are identified:</w:t>
      </w:r>
    </w:p>
    <w:p w14:paraId="144889DE" w14:textId="3E47CBA2" w:rsidR="00247084" w:rsidRDefault="00247084" w:rsidP="00247084">
      <w:pPr>
        <w:pStyle w:val="ListParagraph"/>
        <w:numPr>
          <w:ilvl w:val="0"/>
          <w:numId w:val="5"/>
        </w:numPr>
        <w:spacing w:line="240" w:lineRule="auto"/>
        <w:jc w:val="both"/>
        <w:rPr>
          <w:rFonts w:ascii="Times New Roman" w:hAnsi="Times New Roman" w:cs="Times New Roman"/>
          <w:sz w:val="20"/>
          <w:szCs w:val="20"/>
        </w:rPr>
      </w:pPr>
      <w:r w:rsidRPr="00247084">
        <w:rPr>
          <w:rFonts w:ascii="Times New Roman" w:hAnsi="Times New Roman" w:cs="Times New Roman"/>
          <w:sz w:val="20"/>
          <w:szCs w:val="20"/>
        </w:rPr>
        <w:t>Restricted Capacity for Storage: The capacity limitation of thermal storage systems is one of the major obstacles. Energy can only be stored for a limited amount of time. If renewable energy is produced at a low rate or there is a high demand, the storage system may run out of energy, which could result in shortages.</w:t>
      </w:r>
    </w:p>
    <w:p w14:paraId="6562CC84" w14:textId="77777777" w:rsidR="00247084" w:rsidRDefault="00247084" w:rsidP="00247084">
      <w:pPr>
        <w:pStyle w:val="ListParagraph"/>
        <w:spacing w:line="240" w:lineRule="auto"/>
        <w:jc w:val="both"/>
        <w:rPr>
          <w:rFonts w:ascii="Times New Roman" w:hAnsi="Times New Roman" w:cs="Times New Roman"/>
          <w:sz w:val="20"/>
          <w:szCs w:val="20"/>
        </w:rPr>
      </w:pPr>
    </w:p>
    <w:p w14:paraId="6074BE66" w14:textId="60923E09" w:rsidR="00247084" w:rsidRDefault="00247084" w:rsidP="00247084">
      <w:pPr>
        <w:pStyle w:val="ListParagraph"/>
        <w:numPr>
          <w:ilvl w:val="0"/>
          <w:numId w:val="5"/>
        </w:numPr>
        <w:spacing w:line="240" w:lineRule="auto"/>
        <w:jc w:val="both"/>
        <w:rPr>
          <w:rFonts w:ascii="Times New Roman" w:hAnsi="Times New Roman" w:cs="Times New Roman"/>
          <w:sz w:val="20"/>
          <w:szCs w:val="20"/>
        </w:rPr>
      </w:pPr>
      <w:r w:rsidRPr="00247084">
        <w:rPr>
          <w:rFonts w:ascii="Times New Roman" w:hAnsi="Times New Roman" w:cs="Times New Roman"/>
          <w:sz w:val="20"/>
          <w:szCs w:val="20"/>
        </w:rPr>
        <w:t>Energy Conversion Efficiency: Energy conversion procedures are frequently used in thermal storage systems, and these procedures may naturally lose some of their efficiency. The system's overall efficacy may be impacted if the efficiency of repurposing stored thermal energy into electricity or usable heat is less than ideal.</w:t>
      </w:r>
    </w:p>
    <w:p w14:paraId="2CEC26CC" w14:textId="77777777" w:rsidR="00247084" w:rsidRPr="00247084" w:rsidRDefault="00247084" w:rsidP="00247084">
      <w:pPr>
        <w:pStyle w:val="ListParagraph"/>
        <w:rPr>
          <w:rFonts w:ascii="Times New Roman" w:hAnsi="Times New Roman" w:cs="Times New Roman"/>
          <w:sz w:val="20"/>
          <w:szCs w:val="20"/>
        </w:rPr>
      </w:pPr>
    </w:p>
    <w:p w14:paraId="26733605" w14:textId="2E291779" w:rsidR="00247084" w:rsidRDefault="00247084" w:rsidP="00247084">
      <w:pPr>
        <w:pStyle w:val="ListParagraph"/>
        <w:numPr>
          <w:ilvl w:val="0"/>
          <w:numId w:val="5"/>
        </w:numPr>
        <w:spacing w:line="240" w:lineRule="auto"/>
        <w:jc w:val="both"/>
        <w:rPr>
          <w:rFonts w:ascii="Times New Roman" w:hAnsi="Times New Roman" w:cs="Times New Roman"/>
          <w:sz w:val="20"/>
          <w:szCs w:val="20"/>
        </w:rPr>
      </w:pPr>
      <w:r w:rsidRPr="00247084">
        <w:rPr>
          <w:rFonts w:ascii="Times New Roman" w:hAnsi="Times New Roman" w:cs="Times New Roman"/>
          <w:sz w:val="20"/>
          <w:szCs w:val="20"/>
        </w:rPr>
        <w:t xml:space="preserve">High </w:t>
      </w:r>
      <w:r>
        <w:rPr>
          <w:rFonts w:ascii="Times New Roman" w:hAnsi="Times New Roman" w:cs="Times New Roman"/>
          <w:sz w:val="20"/>
          <w:szCs w:val="20"/>
        </w:rPr>
        <w:t>Initial</w:t>
      </w:r>
      <w:r w:rsidRPr="00247084">
        <w:rPr>
          <w:rFonts w:ascii="Times New Roman" w:hAnsi="Times New Roman" w:cs="Times New Roman"/>
          <w:sz w:val="20"/>
          <w:szCs w:val="20"/>
        </w:rPr>
        <w:t xml:space="preserve"> Costs: Putting in place a standard thermal storage system may come with a hefty price tag. A barrier could be the initial investment in technology, infrastructure, and integration, particularly for smaller or more economically constrained energy communities.</w:t>
      </w:r>
    </w:p>
    <w:p w14:paraId="272094D5" w14:textId="77777777" w:rsidR="00E56C3A" w:rsidRPr="00E56C3A" w:rsidRDefault="00E56C3A" w:rsidP="00E56C3A">
      <w:pPr>
        <w:pStyle w:val="ListParagraph"/>
        <w:rPr>
          <w:rFonts w:ascii="Times New Roman" w:hAnsi="Times New Roman" w:cs="Times New Roman"/>
          <w:sz w:val="20"/>
          <w:szCs w:val="20"/>
        </w:rPr>
      </w:pPr>
    </w:p>
    <w:p w14:paraId="2BC7BD95" w14:textId="54CB7EDF" w:rsidR="0060451F" w:rsidRDefault="00E56C3A" w:rsidP="00E56C3A">
      <w:pPr>
        <w:spacing w:line="240" w:lineRule="auto"/>
        <w:jc w:val="both"/>
        <w:rPr>
          <w:rFonts w:ascii="Times New Roman" w:hAnsi="Times New Roman" w:cs="Times New Roman"/>
          <w:sz w:val="20"/>
          <w:szCs w:val="20"/>
        </w:rPr>
      </w:pPr>
      <w:r w:rsidRPr="00E56C3A">
        <w:rPr>
          <w:rFonts w:ascii="Times New Roman" w:hAnsi="Times New Roman" w:cs="Times New Roman"/>
          <w:sz w:val="20"/>
          <w:szCs w:val="20"/>
        </w:rPr>
        <w:t>It is important to carefully consider how the thermal storage system will affect the environment. Environmental risks may arise from unintended consequences, such as the release of hazardous materials during the manufacturing or disposal process. A comprehensive strategy that includes careful planning, community involvement, technological innovation, and a clear grasp of the local regulatory environment is needed to address these issues. A common energy thermal storage system for community self-sufficiency can be made more successful overall by minimizing negative effects and optimizing it for changing technologies. Ongoing monitoring and system optimization can also help.</w:t>
      </w:r>
      <w:r w:rsidR="00342889">
        <w:rPr>
          <w:rFonts w:ascii="Times New Roman" w:hAnsi="Times New Roman" w:cs="Times New Roman"/>
          <w:sz w:val="20"/>
          <w:szCs w:val="20"/>
        </w:rPr>
        <w:t xml:space="preserve"> </w:t>
      </w:r>
      <w:r w:rsidR="00342889" w:rsidRPr="00342889">
        <w:rPr>
          <w:rFonts w:ascii="Times New Roman" w:hAnsi="Times New Roman" w:cs="Times New Roman"/>
          <w:sz w:val="20"/>
          <w:szCs w:val="20"/>
        </w:rPr>
        <w:t xml:space="preserve">While installing a common energy thermal storage system has the potential to make an energy community self-sufficient, there are obstacles and </w:t>
      </w:r>
      <w:r w:rsidR="00342889" w:rsidRPr="00342889">
        <w:rPr>
          <w:rFonts w:ascii="Times New Roman" w:hAnsi="Times New Roman" w:cs="Times New Roman"/>
          <w:sz w:val="20"/>
          <w:szCs w:val="20"/>
        </w:rPr>
        <w:lastRenderedPageBreak/>
        <w:t>factors to take into account that need to be carefully thought through. Considering technical, economic, environmental, and social aspects necessitates an all-encompassing and integrated approach to the development and implementation of such systems</w:t>
      </w:r>
      <w:r w:rsidR="0060451F">
        <w:rPr>
          <w:rFonts w:ascii="Times New Roman" w:hAnsi="Times New Roman" w:cs="Times New Roman"/>
          <w:sz w:val="20"/>
          <w:szCs w:val="20"/>
        </w:rPr>
        <w:t>.</w:t>
      </w:r>
      <w:r w:rsidR="00D86026">
        <w:rPr>
          <w:rFonts w:ascii="Times New Roman" w:hAnsi="Times New Roman" w:cs="Times New Roman"/>
          <w:sz w:val="20"/>
          <w:szCs w:val="20"/>
        </w:rPr>
        <w:t xml:space="preserve"> </w:t>
      </w:r>
    </w:p>
    <w:p w14:paraId="6D08A682" w14:textId="77777777" w:rsidR="00872FDE" w:rsidRDefault="00872FDE" w:rsidP="00E56C3A">
      <w:pPr>
        <w:spacing w:line="240" w:lineRule="auto"/>
        <w:jc w:val="both"/>
        <w:rPr>
          <w:rFonts w:ascii="Times New Roman" w:hAnsi="Times New Roman" w:cs="Times New Roman"/>
          <w:sz w:val="20"/>
          <w:szCs w:val="20"/>
        </w:rPr>
      </w:pPr>
    </w:p>
    <w:p w14:paraId="1E1D2E63" w14:textId="6F6C75D5" w:rsidR="00872FDE" w:rsidRDefault="00872FDE" w:rsidP="00872FDE">
      <w:pPr>
        <w:spacing w:line="240" w:lineRule="auto"/>
        <w:jc w:val="center"/>
        <w:rPr>
          <w:rFonts w:ascii="Times New Roman" w:hAnsi="Times New Roman" w:cs="Times New Roman"/>
          <w:b/>
          <w:bCs/>
          <w:sz w:val="20"/>
          <w:szCs w:val="20"/>
        </w:rPr>
      </w:pPr>
      <w:r w:rsidRPr="00872FDE">
        <w:rPr>
          <w:rFonts w:ascii="Times New Roman" w:hAnsi="Times New Roman" w:cs="Times New Roman"/>
          <w:b/>
          <w:bCs/>
          <w:sz w:val="20"/>
          <w:szCs w:val="20"/>
        </w:rPr>
        <w:t xml:space="preserve">V. PUMPED THERMAL ENERGY STORAGE </w:t>
      </w:r>
    </w:p>
    <w:p w14:paraId="6FE70B88" w14:textId="46227A37" w:rsidR="00872FDE" w:rsidRDefault="00872FDE" w:rsidP="00872FDE">
      <w:pPr>
        <w:spacing w:line="240" w:lineRule="auto"/>
        <w:jc w:val="both"/>
        <w:rPr>
          <w:rFonts w:ascii="Times New Roman" w:hAnsi="Times New Roman" w:cs="Times New Roman"/>
          <w:sz w:val="20"/>
          <w:szCs w:val="20"/>
          <w:lang w:val="en-US"/>
        </w:rPr>
      </w:pPr>
      <w:r w:rsidRPr="00872FDE">
        <w:rPr>
          <w:rFonts w:ascii="Times New Roman" w:hAnsi="Times New Roman" w:cs="Times New Roman"/>
          <w:sz w:val="20"/>
          <w:szCs w:val="20"/>
        </w:rPr>
        <w:t>A new storage technology that can be used in grid-scale applications is called pumped thermal energy storage. This gadget stores electrical energy as thermal energy, which can be released immediately for thermal purposes or transformed back into power in accordance with the grid's requirements.  The suggested energy storage system's capacity to function as both thermal and electrical storage aligns with the requirements of sector coupling for multi-energy systems that incorporate both thermal and electrical energy carriers</w:t>
      </w:r>
      <w:r>
        <w:rPr>
          <w:rFonts w:ascii="Times New Roman" w:hAnsi="Times New Roman" w:cs="Times New Roman"/>
          <w:sz w:val="20"/>
          <w:szCs w:val="20"/>
        </w:rPr>
        <w:t xml:space="preserve"> [6]</w:t>
      </w:r>
      <w:r w:rsidRPr="00872FDE">
        <w:rPr>
          <w:rFonts w:ascii="Times New Roman" w:hAnsi="Times New Roman" w:cs="Times New Roman"/>
          <w:sz w:val="20"/>
          <w:szCs w:val="20"/>
        </w:rPr>
        <w:t>.</w:t>
      </w:r>
      <w:r>
        <w:rPr>
          <w:rFonts w:ascii="Times New Roman" w:hAnsi="Times New Roman" w:cs="Times New Roman"/>
          <w:sz w:val="20"/>
          <w:szCs w:val="20"/>
        </w:rPr>
        <w:t xml:space="preserve"> </w:t>
      </w:r>
      <w:r w:rsidR="004776AF" w:rsidRPr="004776AF">
        <w:rPr>
          <w:rFonts w:ascii="Times New Roman" w:hAnsi="Times New Roman" w:cs="Times New Roman"/>
          <w:sz w:val="20"/>
          <w:szCs w:val="20"/>
        </w:rPr>
        <w:t>This paper work aims to simulate the integration of Brayton-based pumped thermal electricity storage (PTES) storage in a multi-energy system at a city-district size, which involves electric, heating, and cooling demand. As an alternative to</w:t>
      </w:r>
      <w:r w:rsidR="004776AF" w:rsidRPr="004776AF">
        <w:rPr>
          <w:rFonts w:ascii="Times New Roman" w:hAnsi="Times New Roman" w:cs="Times New Roman"/>
          <w:i/>
          <w:iCs/>
          <w:sz w:val="20"/>
          <w:szCs w:val="20"/>
          <w:lang w:val="en-US"/>
        </w:rPr>
        <w:t xml:space="preserve"> </w:t>
      </w:r>
      <w:r w:rsidR="004776AF" w:rsidRPr="004776AF">
        <w:rPr>
          <w:rFonts w:ascii="Times New Roman" w:hAnsi="Times New Roman" w:cs="Times New Roman"/>
          <w:sz w:val="20"/>
          <w:szCs w:val="20"/>
          <w:lang w:val="en-US"/>
        </w:rPr>
        <w:t>electrochemical batteries, pumped thermal energy storage is a new storage technology suitable for grid-scale applications. The study uses a mixed integer linear programming approach to optimize the system and show that multi-energy storage can reduce operating costs by 5% compared to traditional electric-to-electric storage operation. The challenges are balancing heat transfer rates, maximizing storage capacity, and minimizing energy losses</w:t>
      </w:r>
      <w:r w:rsidR="004776AF">
        <w:rPr>
          <w:rFonts w:ascii="Times New Roman" w:hAnsi="Times New Roman" w:cs="Times New Roman"/>
          <w:sz w:val="20"/>
          <w:szCs w:val="20"/>
          <w:lang w:val="en-US"/>
        </w:rPr>
        <w:t xml:space="preserve"> [6]. </w:t>
      </w:r>
    </w:p>
    <w:p w14:paraId="40DC1133" w14:textId="7FA02876" w:rsidR="006F7839" w:rsidRPr="006F7839" w:rsidRDefault="006F7839" w:rsidP="006F7839">
      <w:pPr>
        <w:spacing w:line="240" w:lineRule="auto"/>
        <w:jc w:val="center"/>
        <w:rPr>
          <w:rFonts w:ascii="Times New Roman" w:hAnsi="Times New Roman" w:cs="Times New Roman"/>
          <w:b/>
          <w:bCs/>
          <w:i/>
          <w:iCs/>
          <w:sz w:val="20"/>
          <w:szCs w:val="20"/>
          <w:lang w:val="en-US"/>
        </w:rPr>
      </w:pPr>
      <w:r w:rsidRPr="006F7839">
        <w:rPr>
          <w:rFonts w:ascii="Times New Roman" w:hAnsi="Times New Roman" w:cs="Times New Roman"/>
          <w:b/>
          <w:bCs/>
          <w:i/>
          <w:iCs/>
          <w:sz w:val="20"/>
          <w:szCs w:val="20"/>
          <w:lang w:val="en-US"/>
        </w:rPr>
        <w:t>A. Modelling</w:t>
      </w:r>
    </w:p>
    <w:p w14:paraId="00A2C624" w14:textId="0D2067EE" w:rsidR="006F7839" w:rsidRPr="006F7839" w:rsidRDefault="006F7839" w:rsidP="006F7839">
      <w:pPr>
        <w:spacing w:line="240" w:lineRule="auto"/>
        <w:jc w:val="both"/>
        <w:rPr>
          <w:rFonts w:ascii="Times New Roman" w:hAnsi="Times New Roman" w:cs="Times New Roman"/>
          <w:sz w:val="20"/>
          <w:szCs w:val="20"/>
        </w:rPr>
      </w:pPr>
      <w:r w:rsidRPr="006F7839">
        <w:rPr>
          <w:rFonts w:ascii="Times New Roman" w:hAnsi="Times New Roman" w:cs="Times New Roman"/>
          <w:sz w:val="20"/>
          <w:szCs w:val="20"/>
        </w:rPr>
        <w:t>A new technology called pumped thermal energy storage (PTES) combines the ideas of thermal energy storage and pumped hydro storage. It entails storing energy as both electrical and thermal energy. PTES systems normally consist of two tanks, one at a high temperature and the other at a low temperature, each holding a heat transfer fluid. The system stores thermal energy by increasing the temperature of the high-temperature tank during times when there is an excess of electricity generated.</w:t>
      </w:r>
      <w:r>
        <w:rPr>
          <w:rFonts w:ascii="Times New Roman" w:hAnsi="Times New Roman" w:cs="Times New Roman"/>
          <w:sz w:val="20"/>
          <w:szCs w:val="20"/>
        </w:rPr>
        <w:t xml:space="preserve"> </w:t>
      </w:r>
      <w:r w:rsidRPr="006F7839">
        <w:rPr>
          <w:rFonts w:ascii="Times New Roman" w:hAnsi="Times New Roman" w:cs="Times New Roman"/>
          <w:sz w:val="20"/>
          <w:szCs w:val="20"/>
        </w:rPr>
        <w:t>Efficient design and operation of PTES systems rely heavily on optimization mode</w:t>
      </w:r>
      <w:r>
        <w:rPr>
          <w:rFonts w:ascii="Times New Roman" w:hAnsi="Times New Roman" w:cs="Times New Roman"/>
          <w:sz w:val="20"/>
          <w:szCs w:val="20"/>
        </w:rPr>
        <w:t>l</w:t>
      </w:r>
      <w:r w:rsidRPr="006F7839">
        <w:rPr>
          <w:rFonts w:ascii="Times New Roman" w:hAnsi="Times New Roman" w:cs="Times New Roman"/>
          <w:sz w:val="20"/>
          <w:szCs w:val="20"/>
        </w:rPr>
        <w:t>ling. The following are important factors to take into account when optimizing PTES mode</w:t>
      </w:r>
      <w:r>
        <w:rPr>
          <w:rFonts w:ascii="Times New Roman" w:hAnsi="Times New Roman" w:cs="Times New Roman"/>
          <w:sz w:val="20"/>
          <w:szCs w:val="20"/>
        </w:rPr>
        <w:t>l</w:t>
      </w:r>
      <w:r w:rsidRPr="006F7839">
        <w:rPr>
          <w:rFonts w:ascii="Times New Roman" w:hAnsi="Times New Roman" w:cs="Times New Roman"/>
          <w:sz w:val="20"/>
          <w:szCs w:val="20"/>
        </w:rPr>
        <w:t>ling in multi-energy systems:</w:t>
      </w:r>
    </w:p>
    <w:p w14:paraId="40FC2956" w14:textId="77777777" w:rsidR="006F7839" w:rsidRDefault="006F7839" w:rsidP="006F7839">
      <w:pPr>
        <w:pStyle w:val="ListParagraph"/>
        <w:numPr>
          <w:ilvl w:val="0"/>
          <w:numId w:val="7"/>
        </w:numPr>
        <w:spacing w:line="240" w:lineRule="auto"/>
        <w:jc w:val="both"/>
        <w:rPr>
          <w:rFonts w:ascii="Times New Roman" w:hAnsi="Times New Roman" w:cs="Times New Roman"/>
          <w:sz w:val="20"/>
          <w:szCs w:val="20"/>
        </w:rPr>
      </w:pPr>
      <w:r w:rsidRPr="006F7839">
        <w:rPr>
          <w:rFonts w:ascii="Times New Roman" w:hAnsi="Times New Roman" w:cs="Times New Roman"/>
          <w:sz w:val="20"/>
          <w:szCs w:val="20"/>
        </w:rPr>
        <w:t xml:space="preserve">Goal Role: Specify the main goal of the optimization, such as lowering environmental impact, maximizing system efficiency, or minimizing energy costs. </w:t>
      </w:r>
    </w:p>
    <w:p w14:paraId="0C62952F" w14:textId="77777777" w:rsidR="006F7839" w:rsidRDefault="006F7839" w:rsidP="006F7839">
      <w:pPr>
        <w:pStyle w:val="ListParagraph"/>
        <w:spacing w:line="240" w:lineRule="auto"/>
        <w:jc w:val="both"/>
        <w:rPr>
          <w:rFonts w:ascii="Times New Roman" w:hAnsi="Times New Roman" w:cs="Times New Roman"/>
          <w:sz w:val="20"/>
          <w:szCs w:val="20"/>
        </w:rPr>
      </w:pPr>
    </w:p>
    <w:p w14:paraId="4F146CAA" w14:textId="24CA9FD6" w:rsidR="006F7839" w:rsidRDefault="006F7839" w:rsidP="006F7839">
      <w:pPr>
        <w:pStyle w:val="ListParagraph"/>
        <w:numPr>
          <w:ilvl w:val="0"/>
          <w:numId w:val="7"/>
        </w:numPr>
        <w:spacing w:line="240" w:lineRule="auto"/>
        <w:jc w:val="both"/>
        <w:rPr>
          <w:rFonts w:ascii="Times New Roman" w:hAnsi="Times New Roman" w:cs="Times New Roman"/>
          <w:sz w:val="20"/>
          <w:szCs w:val="20"/>
        </w:rPr>
      </w:pPr>
      <w:r w:rsidRPr="006F7839">
        <w:rPr>
          <w:rFonts w:ascii="Times New Roman" w:hAnsi="Times New Roman" w:cs="Times New Roman"/>
          <w:sz w:val="20"/>
          <w:szCs w:val="20"/>
        </w:rPr>
        <w:t xml:space="preserve">Parts of the System: Create a model of the various parts of the multi-energy system, such as the PTES system, conventional </w:t>
      </w:r>
      <w:r w:rsidRPr="006F7839">
        <w:rPr>
          <w:rFonts w:ascii="Times New Roman" w:hAnsi="Times New Roman" w:cs="Times New Roman"/>
          <w:sz w:val="20"/>
          <w:szCs w:val="20"/>
        </w:rPr>
        <w:t>power plants, and renewable energy sources.</w:t>
      </w:r>
    </w:p>
    <w:p w14:paraId="44F28BC3" w14:textId="77777777" w:rsidR="007767F9" w:rsidRPr="007767F9" w:rsidRDefault="007767F9" w:rsidP="007767F9">
      <w:pPr>
        <w:pStyle w:val="ListParagraph"/>
        <w:rPr>
          <w:rFonts w:ascii="Times New Roman" w:hAnsi="Times New Roman" w:cs="Times New Roman"/>
          <w:sz w:val="20"/>
          <w:szCs w:val="20"/>
        </w:rPr>
      </w:pPr>
    </w:p>
    <w:p w14:paraId="14DB87B9" w14:textId="0EA75005" w:rsidR="007767F9" w:rsidRPr="007767F9" w:rsidRDefault="007767F9" w:rsidP="007767F9">
      <w:pPr>
        <w:spacing w:line="240" w:lineRule="auto"/>
        <w:jc w:val="center"/>
        <w:rPr>
          <w:rFonts w:ascii="Times New Roman" w:hAnsi="Times New Roman" w:cs="Times New Roman"/>
          <w:b/>
          <w:bCs/>
          <w:i/>
          <w:iCs/>
          <w:sz w:val="20"/>
          <w:szCs w:val="20"/>
        </w:rPr>
      </w:pPr>
      <w:r w:rsidRPr="007767F9">
        <w:rPr>
          <w:rFonts w:ascii="Times New Roman" w:hAnsi="Times New Roman" w:cs="Times New Roman"/>
          <w:b/>
          <w:bCs/>
          <w:i/>
          <w:iCs/>
          <w:sz w:val="20"/>
          <w:szCs w:val="20"/>
        </w:rPr>
        <w:t>B. Methodology</w:t>
      </w:r>
    </w:p>
    <w:p w14:paraId="7832CE96" w14:textId="586C1B5C" w:rsidR="007767F9" w:rsidRDefault="007767F9" w:rsidP="00B47B56">
      <w:pPr>
        <w:spacing w:line="240" w:lineRule="auto"/>
        <w:jc w:val="both"/>
        <w:rPr>
          <w:rFonts w:ascii="Times New Roman" w:hAnsi="Times New Roman" w:cs="Times New Roman"/>
          <w:sz w:val="20"/>
          <w:szCs w:val="20"/>
        </w:rPr>
      </w:pPr>
      <w:r w:rsidRPr="007767F9">
        <w:rPr>
          <w:rFonts w:ascii="Times New Roman" w:hAnsi="Times New Roman" w:cs="Times New Roman"/>
          <w:sz w:val="20"/>
          <w:szCs w:val="20"/>
        </w:rPr>
        <w:t>A methodical and thorough approach is taken when implementing Pumped Thermal Energy Storage (PTES) in a multi-energy system in order to handle the intricate interactions between different energy sources and demands. In order to determine energy demands, evaluate available energy sources, and set broad goals for the PTES system, a comprehensive system analysis is first carried out. The next step is a site assessment that takes space availability, climate, and geographic factors into account. The configuration and design of PTES components are then painstakingly carried out, including the choice of a suitable heat engine, storage tank design, and suitable heat transfer fluid.</w:t>
      </w:r>
      <w:r w:rsidR="00B47B56">
        <w:rPr>
          <w:rFonts w:ascii="Times New Roman" w:hAnsi="Times New Roman" w:cs="Times New Roman"/>
          <w:sz w:val="20"/>
          <w:szCs w:val="20"/>
        </w:rPr>
        <w:t xml:space="preserve"> </w:t>
      </w:r>
      <w:r w:rsidRPr="007767F9">
        <w:rPr>
          <w:rFonts w:ascii="Times New Roman" w:hAnsi="Times New Roman" w:cs="Times New Roman"/>
          <w:sz w:val="20"/>
          <w:szCs w:val="20"/>
        </w:rPr>
        <w:t>To reduce operating costs, a Mixed Integer Linear Programming technique was used to optimize the system's performance. The simulation's qualitative findings demonstrated how the PTES appropriately engages with the community by providing the right amount of heating, cooling, and electricity discharges to meet demand. Furthermore, the quantitative analysis demonstrated that, in comparison to the conventionally suggested electric-to-electric usage for this technology, employing the PTES as a multi-storage capacity greatly lowers the operating costs.</w:t>
      </w:r>
      <w:r w:rsidR="00B47B56">
        <w:rPr>
          <w:rFonts w:ascii="Times New Roman" w:hAnsi="Times New Roman" w:cs="Times New Roman"/>
          <w:sz w:val="20"/>
          <w:szCs w:val="20"/>
        </w:rPr>
        <w:t xml:space="preserve"> </w:t>
      </w:r>
    </w:p>
    <w:p w14:paraId="18EE6F39" w14:textId="77777777" w:rsidR="00F33617" w:rsidRDefault="00F33617" w:rsidP="00F33617">
      <w:pPr>
        <w:spacing w:line="240" w:lineRule="auto"/>
        <w:jc w:val="center"/>
        <w:rPr>
          <w:rFonts w:ascii="Times New Roman" w:hAnsi="Times New Roman" w:cs="Times New Roman"/>
          <w:b/>
          <w:bCs/>
          <w:sz w:val="20"/>
          <w:szCs w:val="20"/>
        </w:rPr>
      </w:pPr>
    </w:p>
    <w:p w14:paraId="7A60400F" w14:textId="3E388260" w:rsidR="00F33617" w:rsidRDefault="00F33617" w:rsidP="00F33617">
      <w:pPr>
        <w:spacing w:line="240" w:lineRule="auto"/>
        <w:jc w:val="center"/>
        <w:rPr>
          <w:rFonts w:ascii="Times New Roman" w:hAnsi="Times New Roman" w:cs="Times New Roman"/>
          <w:b/>
          <w:bCs/>
          <w:sz w:val="20"/>
          <w:szCs w:val="20"/>
        </w:rPr>
      </w:pPr>
      <w:r w:rsidRPr="00F33617">
        <w:rPr>
          <w:rFonts w:ascii="Times New Roman" w:hAnsi="Times New Roman" w:cs="Times New Roman"/>
          <w:b/>
          <w:bCs/>
          <w:sz w:val="20"/>
          <w:szCs w:val="20"/>
        </w:rPr>
        <w:t>REFERENCES</w:t>
      </w:r>
    </w:p>
    <w:p w14:paraId="32F47F57" w14:textId="6FD57338" w:rsidR="00F33617" w:rsidRPr="004C3F9C" w:rsidRDefault="00F33617" w:rsidP="00F33617">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[1]. </w:t>
      </w:r>
      <w:r w:rsidR="004C3F9C" w:rsidRPr="004C3F9C">
        <w:rPr>
          <w:rFonts w:ascii="Times New Roman" w:hAnsi="Times New Roman" w:cs="Times New Roman"/>
          <w:sz w:val="20"/>
          <w:szCs w:val="20"/>
        </w:rPr>
        <w:t>Muaiz Ali, Mohamed A. Abdulgalil1, Ibrahim Habiballah,</w:t>
      </w:r>
      <w:r w:rsidR="004C3F9C">
        <w:rPr>
          <w:rFonts w:ascii="Times New Roman" w:hAnsi="Times New Roman" w:cs="Times New Roman"/>
          <w:sz w:val="20"/>
          <w:szCs w:val="20"/>
        </w:rPr>
        <w:t xml:space="preserve"> </w:t>
      </w:r>
      <w:r w:rsidR="004C3F9C" w:rsidRPr="004C3F9C">
        <w:rPr>
          <w:rFonts w:ascii="Times New Roman" w:hAnsi="Times New Roman" w:cs="Times New Roman"/>
          <w:sz w:val="20"/>
          <w:szCs w:val="20"/>
        </w:rPr>
        <w:t>(Member, Ieee), A</w:t>
      </w:r>
      <w:r w:rsidR="004C3F9C">
        <w:rPr>
          <w:rFonts w:ascii="Times New Roman" w:hAnsi="Times New Roman" w:cs="Times New Roman"/>
          <w:sz w:val="20"/>
          <w:szCs w:val="20"/>
        </w:rPr>
        <w:t xml:space="preserve"> </w:t>
      </w:r>
      <w:r w:rsidR="004C3F9C" w:rsidRPr="004C3F9C">
        <w:rPr>
          <w:rFonts w:ascii="Times New Roman" w:hAnsi="Times New Roman" w:cs="Times New Roman"/>
          <w:sz w:val="20"/>
          <w:szCs w:val="20"/>
        </w:rPr>
        <w:t>nd Muhammad Khalid</w:t>
      </w:r>
      <w:r w:rsidR="004C3F9C">
        <w:rPr>
          <w:rFonts w:ascii="Times New Roman" w:hAnsi="Times New Roman" w:cs="Times New Roman"/>
          <w:sz w:val="20"/>
          <w:szCs w:val="20"/>
        </w:rPr>
        <w:t xml:space="preserve"> </w:t>
      </w:r>
      <w:r w:rsidR="004C3F9C" w:rsidRPr="004C3F9C">
        <w:rPr>
          <w:rFonts w:ascii="Times New Roman" w:hAnsi="Times New Roman" w:cs="Times New Roman"/>
          <w:sz w:val="20"/>
          <w:szCs w:val="20"/>
        </w:rPr>
        <w:t>(Senior Member, Ieee)</w:t>
      </w:r>
      <w:r w:rsidR="004C3F9C">
        <w:rPr>
          <w:rFonts w:ascii="Times New Roman" w:hAnsi="Times New Roman" w:cs="Times New Roman"/>
          <w:sz w:val="20"/>
          <w:szCs w:val="20"/>
        </w:rPr>
        <w:t xml:space="preserve">, </w:t>
      </w:r>
      <w:r w:rsidR="004C3F9C" w:rsidRPr="004C3F9C">
        <w:rPr>
          <w:rFonts w:ascii="Times New Roman" w:hAnsi="Times New Roman" w:cs="Times New Roman"/>
          <w:sz w:val="20"/>
          <w:szCs w:val="20"/>
        </w:rPr>
        <w:t>“Optimal Scheduling of Isolated Microgrids</w:t>
      </w:r>
      <w:r w:rsidR="004C3F9C">
        <w:rPr>
          <w:rFonts w:ascii="Times New Roman" w:hAnsi="Times New Roman" w:cs="Times New Roman"/>
          <w:sz w:val="20"/>
          <w:szCs w:val="20"/>
        </w:rPr>
        <w:t xml:space="preserve"> w</w:t>
      </w:r>
      <w:r w:rsidR="004C3F9C" w:rsidRPr="004C3F9C">
        <w:rPr>
          <w:rFonts w:ascii="Times New Roman" w:hAnsi="Times New Roman" w:cs="Times New Roman"/>
          <w:sz w:val="20"/>
          <w:szCs w:val="20"/>
        </w:rPr>
        <w:t>ith Hybrid Renewables and Energy Storage Systems Considering Demand Response</w:t>
      </w:r>
      <w:r w:rsidR="004C3F9C">
        <w:rPr>
          <w:rFonts w:ascii="Times New Roman" w:hAnsi="Times New Roman" w:cs="Times New Roman"/>
          <w:sz w:val="20"/>
          <w:szCs w:val="20"/>
        </w:rPr>
        <w:t>” volume 11, 2023.</w:t>
      </w:r>
    </w:p>
    <w:p w14:paraId="08BC807F" w14:textId="2087AD6D" w:rsidR="00F33617" w:rsidRPr="004C3F9C" w:rsidRDefault="00F33617" w:rsidP="00F33617">
      <w:pPr>
        <w:spacing w:line="240" w:lineRule="auto"/>
        <w:jc w:val="both"/>
        <w:rPr>
          <w:rFonts w:ascii="Times New Roman" w:hAnsi="Times New Roman" w:cs="Times New Roman"/>
          <w:sz w:val="20"/>
          <w:szCs w:val="20"/>
        </w:rPr>
      </w:pPr>
      <w:r>
        <w:rPr>
          <w:rFonts w:ascii="Times New Roman" w:hAnsi="Times New Roman" w:cs="Times New Roman"/>
          <w:sz w:val="20"/>
          <w:szCs w:val="20"/>
        </w:rPr>
        <w:t>[2</w:t>
      </w:r>
      <w:r w:rsidR="004C3F9C">
        <w:rPr>
          <w:rFonts w:ascii="Times New Roman" w:hAnsi="Times New Roman" w:cs="Times New Roman"/>
          <w:sz w:val="20"/>
          <w:szCs w:val="20"/>
        </w:rPr>
        <w:t xml:space="preserve">]. </w:t>
      </w:r>
      <w:r w:rsidR="004C3F9C" w:rsidRPr="004C3F9C">
        <w:rPr>
          <w:rFonts w:ascii="Times New Roman" w:hAnsi="Times New Roman" w:cs="Times New Roman"/>
          <w:color w:val="000000" w:themeColor="text1"/>
          <w:sz w:val="20"/>
          <w:szCs w:val="20"/>
        </w:rPr>
        <w:t>Zhenyuan Zhang, Member, IEEE, Yun Zhang, Student Member, IEEE, Qi Huang, Senior Member, IEEE and Wei-Jen Lee, Fellow, IEEE, “market-oriented optimal dispatching strategy for a wind farm with a multiple stage hybrid energy storage system” csee journal of power and energy systems, vol. 4, no. 4, December 2018</w:t>
      </w:r>
      <w:r w:rsidR="004C3F9C">
        <w:rPr>
          <w:rFonts w:ascii="Times New Roman" w:hAnsi="Times New Roman" w:cs="Times New Roman"/>
          <w:color w:val="000000" w:themeColor="text1"/>
          <w:sz w:val="20"/>
          <w:szCs w:val="20"/>
        </w:rPr>
        <w:t>.</w:t>
      </w:r>
    </w:p>
    <w:p w14:paraId="70392A5F" w14:textId="2B0D3639" w:rsidR="004C3F9C" w:rsidRDefault="004C3F9C" w:rsidP="00F33617">
      <w:pPr>
        <w:spacing w:line="240" w:lineRule="auto"/>
        <w:jc w:val="both"/>
        <w:rPr>
          <w:rFonts w:ascii="Times New Roman" w:hAnsi="Times New Roman" w:cs="Times New Roman"/>
          <w:sz w:val="20"/>
          <w:szCs w:val="20"/>
        </w:rPr>
      </w:pPr>
      <w:r>
        <w:rPr>
          <w:rFonts w:ascii="Times New Roman" w:hAnsi="Times New Roman" w:cs="Times New Roman"/>
          <w:sz w:val="20"/>
          <w:szCs w:val="20"/>
        </w:rPr>
        <w:t>[3].</w:t>
      </w:r>
      <w:r w:rsidR="00581B6B">
        <w:rPr>
          <w:rFonts w:ascii="Times New Roman" w:hAnsi="Times New Roman" w:cs="Times New Roman"/>
          <w:sz w:val="20"/>
          <w:szCs w:val="20"/>
        </w:rPr>
        <w:t xml:space="preserve"> </w:t>
      </w:r>
      <w:r w:rsidR="00581B6B" w:rsidRPr="00581B6B">
        <w:rPr>
          <w:rFonts w:ascii="Times New Roman" w:hAnsi="Times New Roman" w:cs="Times New Roman"/>
          <w:sz w:val="20"/>
          <w:szCs w:val="20"/>
        </w:rPr>
        <w:t>Mostafa Kermani, Member, IEEE, Erfan Shirdare, Student Member, IEEE, Giuseppe Parise, Life Fellow, IEEE, Massimo Bongiorno, Senior Member, IEEE, and Luigi Martirano, Senior Member,IEEE, “A Comprehensive Technoeconomic Solution for Demand Control in Ports: Energy Storage Systems Integration”</w:t>
      </w:r>
      <w:r w:rsidR="00581B6B" w:rsidRPr="00581B6B">
        <w:rPr>
          <w:sz w:val="20"/>
          <w:szCs w:val="20"/>
        </w:rPr>
        <w:t xml:space="preserve"> </w:t>
      </w:r>
      <w:r w:rsidR="00581B6B" w:rsidRPr="00581B6B">
        <w:rPr>
          <w:rFonts w:ascii="Times New Roman" w:hAnsi="Times New Roman" w:cs="Times New Roman"/>
          <w:sz w:val="20"/>
          <w:szCs w:val="20"/>
        </w:rPr>
        <w:t>ieee transactions on industry applications, vol. 58, no. 2, March/April 2022</w:t>
      </w:r>
      <w:r w:rsidR="00581B6B">
        <w:rPr>
          <w:rFonts w:ascii="Times New Roman" w:hAnsi="Times New Roman" w:cs="Times New Roman"/>
          <w:sz w:val="20"/>
          <w:szCs w:val="20"/>
        </w:rPr>
        <w:t>.</w:t>
      </w:r>
    </w:p>
    <w:p w14:paraId="73730F44" w14:textId="2B7BF63C" w:rsidR="00581B6B" w:rsidRDefault="00581B6B" w:rsidP="00F33617">
      <w:pPr>
        <w:spacing w:line="240" w:lineRule="auto"/>
        <w:jc w:val="both"/>
        <w:rPr>
          <w:rStyle w:val="mwvive"/>
          <w:rFonts w:ascii="Times New Roman" w:hAnsi="Times New Roman" w:cs="Times New Roman"/>
          <w:color w:val="202124"/>
          <w:sz w:val="20"/>
          <w:szCs w:val="20"/>
          <w:shd w:val="clear" w:color="auto" w:fill="FFFFFF"/>
        </w:rPr>
      </w:pPr>
      <w:r>
        <w:rPr>
          <w:rFonts w:ascii="Times New Roman" w:hAnsi="Times New Roman" w:cs="Times New Roman"/>
          <w:sz w:val="20"/>
          <w:szCs w:val="20"/>
        </w:rPr>
        <w:t xml:space="preserve">[4]. </w:t>
      </w:r>
      <w:r w:rsidRPr="00581B6B">
        <w:rPr>
          <w:rStyle w:val="mwvive"/>
          <w:rFonts w:ascii="Times New Roman" w:hAnsi="Times New Roman" w:cs="Times New Roman"/>
          <w:color w:val="202124"/>
          <w:sz w:val="20"/>
          <w:szCs w:val="20"/>
          <w:shd w:val="clear" w:color="auto" w:fill="FFFFFF"/>
        </w:rPr>
        <w:t xml:space="preserve">Nihad Aljuboori, Shebel Alsabbah, Salam Ismaeel, Ayman AI-Khazaraji, “a novel battery </w:t>
      </w:r>
      <w:r w:rsidRPr="00581B6B">
        <w:rPr>
          <w:rStyle w:val="mwvive"/>
          <w:rFonts w:ascii="Times New Roman" w:hAnsi="Times New Roman" w:cs="Times New Roman"/>
          <w:color w:val="202124"/>
          <w:sz w:val="20"/>
          <w:szCs w:val="20"/>
          <w:shd w:val="clear" w:color="auto" w:fill="FFFFFF"/>
        </w:rPr>
        <w:lastRenderedPageBreak/>
        <w:t>energy storage system (ess) using refurbished and certified li-ion batteries”, pp. April 2020</w:t>
      </w:r>
      <w:r>
        <w:rPr>
          <w:rStyle w:val="mwvive"/>
          <w:rFonts w:ascii="Times New Roman" w:hAnsi="Times New Roman" w:cs="Times New Roman"/>
          <w:color w:val="202124"/>
          <w:sz w:val="20"/>
          <w:szCs w:val="20"/>
          <w:shd w:val="clear" w:color="auto" w:fill="FFFFFF"/>
        </w:rPr>
        <w:t>.</w:t>
      </w:r>
    </w:p>
    <w:p w14:paraId="5EDFEEB3" w14:textId="764D0714" w:rsidR="00581B6B" w:rsidRDefault="00581B6B" w:rsidP="00F33617">
      <w:pPr>
        <w:spacing w:line="240" w:lineRule="auto"/>
        <w:jc w:val="both"/>
        <w:rPr>
          <w:rStyle w:val="mwvive"/>
          <w:rFonts w:ascii="Times New Roman" w:hAnsi="Times New Roman" w:cs="Times New Roman"/>
          <w:color w:val="202124"/>
          <w:sz w:val="20"/>
          <w:szCs w:val="20"/>
          <w:shd w:val="clear" w:color="auto" w:fill="FFFFFF"/>
        </w:rPr>
      </w:pPr>
      <w:r>
        <w:rPr>
          <w:rStyle w:val="mwvive"/>
          <w:rFonts w:ascii="Times New Roman" w:hAnsi="Times New Roman" w:cs="Times New Roman"/>
          <w:color w:val="202124"/>
          <w:sz w:val="20"/>
          <w:szCs w:val="20"/>
          <w:shd w:val="clear" w:color="auto" w:fill="FFFFFF"/>
        </w:rPr>
        <w:t xml:space="preserve">[5]. </w:t>
      </w:r>
      <w:r w:rsidRPr="00581B6B">
        <w:rPr>
          <w:rStyle w:val="mwvive"/>
          <w:rFonts w:ascii="Times New Roman" w:hAnsi="Times New Roman" w:cs="Times New Roman"/>
          <w:color w:val="202124"/>
          <w:sz w:val="20"/>
          <w:szCs w:val="20"/>
          <w:shd w:val="clear" w:color="auto" w:fill="FFFFFF"/>
        </w:rPr>
        <w:t>Elahe Doroudchi, Hosna Khajeh (graduate Student Member, IEEE), and Hannu Laaksonen, (Member, IEEE), school of Technology and Innovations, Flexible energy resources, University of vaasa 65200 Vaasa,Finland, “increasing self -sufficiency of energy community by common thermal energy storage, ieee trans, vol 10,2022</w:t>
      </w:r>
      <w:r w:rsidR="0027542C">
        <w:rPr>
          <w:rStyle w:val="mwvive"/>
          <w:rFonts w:ascii="Times New Roman" w:hAnsi="Times New Roman" w:cs="Times New Roman"/>
          <w:color w:val="202124"/>
          <w:sz w:val="20"/>
          <w:szCs w:val="20"/>
          <w:shd w:val="clear" w:color="auto" w:fill="FFFFFF"/>
        </w:rPr>
        <w:t>.</w:t>
      </w:r>
    </w:p>
    <w:p w14:paraId="46B64EA3" w14:textId="2D4CC450" w:rsidR="0027542C" w:rsidRDefault="0027542C" w:rsidP="00F33617">
      <w:pPr>
        <w:spacing w:line="240" w:lineRule="auto"/>
        <w:jc w:val="both"/>
        <w:rPr>
          <w:rFonts w:ascii="Times New Roman" w:hAnsi="Times New Roman" w:cs="Times New Roman"/>
          <w:sz w:val="20"/>
          <w:szCs w:val="20"/>
        </w:rPr>
      </w:pPr>
      <w:r>
        <w:rPr>
          <w:rStyle w:val="mwvive"/>
          <w:rFonts w:ascii="Times New Roman" w:hAnsi="Times New Roman" w:cs="Times New Roman"/>
          <w:color w:val="202124"/>
          <w:sz w:val="20"/>
          <w:szCs w:val="20"/>
          <w:shd w:val="clear" w:color="auto" w:fill="FFFFFF"/>
        </w:rPr>
        <w:t xml:space="preserve">[6]. </w:t>
      </w:r>
      <w:r w:rsidR="00104F90" w:rsidRPr="00104F90">
        <w:rPr>
          <w:rFonts w:ascii="Times New Roman" w:hAnsi="Times New Roman" w:cs="Times New Roman"/>
          <w:sz w:val="20"/>
          <w:szCs w:val="20"/>
        </w:rPr>
        <w:t>Alessanda Ghilardi, Guido Francesco Frate, Antonio Piazzi, Mauro Tucci, Konstantinos Kyprianidis, Lorenzo Ferrari, “pumped thermal energy storage for multi-energy systems optimization” September 26-27, 2023</w:t>
      </w:r>
      <w:r w:rsidR="003D14C5">
        <w:rPr>
          <w:rFonts w:ascii="Times New Roman" w:hAnsi="Times New Roman" w:cs="Times New Roman"/>
          <w:sz w:val="20"/>
          <w:szCs w:val="20"/>
        </w:rPr>
        <w:t>.</w:t>
      </w:r>
    </w:p>
    <w:p w14:paraId="1B15E70F" w14:textId="0F8C6DA8" w:rsidR="003D14C5" w:rsidRDefault="003D14C5" w:rsidP="00F33617">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[7]. </w:t>
      </w:r>
      <w:r w:rsidRPr="003D14C5">
        <w:rPr>
          <w:rFonts w:ascii="Times New Roman" w:hAnsi="Times New Roman" w:cs="Times New Roman"/>
          <w:sz w:val="20"/>
          <w:szCs w:val="20"/>
        </w:rPr>
        <w:t>M. Kermani, G. Parise, E. Shirdare, and L. Martirano, “Transactive energy solution in a port’s microgrid based on blockchain technology,” in Proc. IEEE Int. Conf. Environ. Elect. Eng. IEEE Ind. Commercial Power Syst. Eur., Jun. 2020, pp. 1–6.</w:t>
      </w:r>
    </w:p>
    <w:p w14:paraId="1DA96067" w14:textId="26A1769D" w:rsidR="003D14C5" w:rsidRDefault="003D14C5" w:rsidP="00F33617">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[8]. </w:t>
      </w:r>
      <w:r w:rsidRPr="003D14C5">
        <w:rPr>
          <w:rFonts w:ascii="Times New Roman" w:hAnsi="Times New Roman" w:cs="Times New Roman"/>
          <w:sz w:val="20"/>
          <w:szCs w:val="20"/>
        </w:rPr>
        <w:t>K. L. A. Yau, S. Peng, J. Qadir, Y. C. Low, and M. H. Ling, “Towards smart port infrastructures: Enhancing port activities using information and communications technology,” IEEE Access, vol. 8, pp. 83387–83404, 2020.</w:t>
      </w:r>
    </w:p>
    <w:p w14:paraId="0360D3B0" w14:textId="166A9C65" w:rsidR="003D14C5" w:rsidRDefault="003D14C5" w:rsidP="00F33617">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[9]. </w:t>
      </w:r>
      <w:r w:rsidRPr="003D14C5">
        <w:rPr>
          <w:rFonts w:ascii="Times New Roman" w:hAnsi="Times New Roman" w:cs="Times New Roman"/>
          <w:sz w:val="20"/>
          <w:szCs w:val="20"/>
        </w:rPr>
        <w:t>B. Yan, M. Di Somma, P. B. Luh, and G. Graditi, ‘‘Operation optimization of multiple distributed energy systems in an energy community,’’ in Proc. IEEE Int. Conf. Environ. Electr. Eng. IEEE Ind. Commercial Power Syst. Eur. (EEEIC/ I&amp;CPS Europe), Palermo, Jun. 2018, pp. 1–6, doi: 10.1109/EEEIC.2018.8494476</w:t>
      </w:r>
      <w:r w:rsidR="00835378">
        <w:rPr>
          <w:rFonts w:ascii="Times New Roman" w:hAnsi="Times New Roman" w:cs="Times New Roman"/>
          <w:sz w:val="20"/>
          <w:szCs w:val="20"/>
        </w:rPr>
        <w:t>.</w:t>
      </w:r>
    </w:p>
    <w:p w14:paraId="78223D5A" w14:textId="54670A13" w:rsidR="00D009F5" w:rsidRDefault="00D009F5" w:rsidP="00F33617">
      <w:pPr>
        <w:spacing w:line="240" w:lineRule="auto"/>
        <w:jc w:val="both"/>
        <w:rPr>
          <w:rFonts w:ascii="Times New Roman" w:hAnsi="Times New Roman" w:cs="Times New Roman"/>
          <w:sz w:val="20"/>
          <w:szCs w:val="20"/>
        </w:rPr>
      </w:pPr>
      <w:r>
        <w:rPr>
          <w:rFonts w:ascii="Times New Roman" w:hAnsi="Times New Roman" w:cs="Times New Roman"/>
          <w:sz w:val="20"/>
          <w:szCs w:val="20"/>
        </w:rPr>
        <w:t>[10</w:t>
      </w:r>
      <w:r w:rsidRPr="005439F3">
        <w:rPr>
          <w:rFonts w:ascii="Times New Roman" w:hAnsi="Times New Roman" w:cs="Times New Roman"/>
          <w:sz w:val="20"/>
          <w:szCs w:val="20"/>
        </w:rPr>
        <w:t xml:space="preserve">]. </w:t>
      </w:r>
      <w:r w:rsidR="005439F3" w:rsidRPr="005439F3">
        <w:rPr>
          <w:rFonts w:ascii="Times New Roman" w:hAnsi="Times New Roman" w:cs="Times New Roman"/>
          <w:sz w:val="20"/>
          <w:szCs w:val="20"/>
        </w:rPr>
        <w:t>Z. Y. Zhang, Y. Zhang, and W. J. Lee, “Energy storage based optimal dispatch scheme for financial improvement and fluctuation mitigation on wind power generation,” in 2017 IEEE Industry Applications Society Annual Meeting, Cincinnati, OH, Oct. 1–5, 2017, pp. 1–7</w:t>
      </w:r>
      <w:r w:rsidR="005439F3">
        <w:rPr>
          <w:rFonts w:ascii="Times New Roman" w:hAnsi="Times New Roman" w:cs="Times New Roman"/>
          <w:sz w:val="20"/>
          <w:szCs w:val="20"/>
        </w:rPr>
        <w:t>.</w:t>
      </w:r>
    </w:p>
    <w:p w14:paraId="141E5157" w14:textId="12FE9534" w:rsidR="005439F3" w:rsidRDefault="005439F3" w:rsidP="00F33617">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[11]. </w:t>
      </w:r>
      <w:r w:rsidRPr="005439F3">
        <w:rPr>
          <w:rFonts w:ascii="Times New Roman" w:hAnsi="Times New Roman" w:cs="Times New Roman"/>
          <w:sz w:val="20"/>
          <w:szCs w:val="20"/>
        </w:rPr>
        <w:t>T. B. Nadeem, M. Siddiqui, M. Khalid, and M. Asif, ‘‘Distributed energy systems: A review of classification, technologies, applications, and policies,’’ Energy Strategy Rev., vol. 48, Jul. 2023, Art. no. 101096.</w:t>
      </w:r>
    </w:p>
    <w:p w14:paraId="67C39A88" w14:textId="70DB4C6C" w:rsidR="005439F3" w:rsidRDefault="005439F3" w:rsidP="00F33617">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[12]. </w:t>
      </w:r>
      <w:r w:rsidRPr="005439F3">
        <w:rPr>
          <w:rFonts w:ascii="Times New Roman" w:hAnsi="Times New Roman" w:cs="Times New Roman"/>
          <w:sz w:val="20"/>
          <w:szCs w:val="20"/>
        </w:rPr>
        <w:t>S. D. Ahmed, F. S. M. Al-Ismail, M. Shafiullah, F. A. Al-Sulaiman, and I. M. El-Amin, ‘‘Grid integration challenges of wind energy: A review,’’ IEEE Access, vol. 8, pp. 10857–10878, 2020.</w:t>
      </w:r>
    </w:p>
    <w:p w14:paraId="44BACD41" w14:textId="38A4DBB1" w:rsidR="005439F3" w:rsidRDefault="005439F3" w:rsidP="00F33617">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[13]. </w:t>
      </w:r>
      <w:r w:rsidRPr="005439F3">
        <w:rPr>
          <w:rFonts w:ascii="Times New Roman" w:hAnsi="Times New Roman" w:cs="Times New Roman"/>
          <w:sz w:val="20"/>
          <w:szCs w:val="20"/>
        </w:rPr>
        <w:t>A. Kavousi-Fard, A. Zare, and A. Khodaei, ‘‘Effective dynamic scheduling of reconfigurable microgrids,’’ IEEE Trans. Power Syst., vol. 33, no. 5, pp. 5519–5530, Sep. 2018.</w:t>
      </w:r>
    </w:p>
    <w:p w14:paraId="524C3CE8" w14:textId="1AA0EEDD" w:rsidR="005439F3" w:rsidRDefault="005439F3" w:rsidP="00F33617">
      <w:pPr>
        <w:spacing w:line="240" w:lineRule="auto"/>
        <w:jc w:val="both"/>
        <w:rPr>
          <w:rFonts w:ascii="Times New Roman" w:hAnsi="Times New Roman" w:cs="Times New Roman"/>
          <w:sz w:val="20"/>
          <w:szCs w:val="20"/>
        </w:rPr>
      </w:pPr>
      <w:r>
        <w:rPr>
          <w:rFonts w:ascii="Times New Roman" w:hAnsi="Times New Roman" w:cs="Times New Roman"/>
          <w:sz w:val="20"/>
          <w:szCs w:val="20"/>
        </w:rPr>
        <w:t>[14</w:t>
      </w:r>
      <w:r w:rsidRPr="003939F3">
        <w:rPr>
          <w:rFonts w:ascii="Times New Roman" w:hAnsi="Times New Roman" w:cs="Times New Roman"/>
          <w:sz w:val="20"/>
          <w:szCs w:val="20"/>
        </w:rPr>
        <w:t xml:space="preserve">]. </w:t>
      </w:r>
      <w:r w:rsidR="003939F3" w:rsidRPr="003939F3">
        <w:rPr>
          <w:rFonts w:ascii="Times New Roman" w:hAnsi="Times New Roman" w:cs="Times New Roman"/>
          <w:sz w:val="20"/>
          <w:szCs w:val="20"/>
        </w:rPr>
        <w:t>S. Ismaeel and A. Miri. Real-time energy-conserving vm-provisioning framework for cloud-data centers. In IEEE 9th Annual Computing and</w:t>
      </w:r>
      <w:r w:rsidR="003939F3">
        <w:t xml:space="preserve"> </w:t>
      </w:r>
      <w:r w:rsidR="003939F3" w:rsidRPr="003939F3">
        <w:rPr>
          <w:rFonts w:ascii="Times New Roman" w:hAnsi="Times New Roman" w:cs="Times New Roman"/>
          <w:sz w:val="20"/>
          <w:szCs w:val="20"/>
        </w:rPr>
        <w:t>Communication Workshop and Conference (CCWC), pages 0765–0771, Jan 2019</w:t>
      </w:r>
      <w:r w:rsidR="003939F3">
        <w:rPr>
          <w:rFonts w:ascii="Times New Roman" w:hAnsi="Times New Roman" w:cs="Times New Roman"/>
          <w:sz w:val="20"/>
          <w:szCs w:val="20"/>
        </w:rPr>
        <w:t>.</w:t>
      </w:r>
    </w:p>
    <w:p w14:paraId="33998427" w14:textId="61FA301B" w:rsidR="00106BC4" w:rsidRPr="00106BC4" w:rsidRDefault="003939F3" w:rsidP="00F33617">
      <w:pPr>
        <w:spacing w:line="240" w:lineRule="auto"/>
        <w:jc w:val="both"/>
        <w:rPr>
          <w:rFonts w:ascii="Times New Roman" w:hAnsi="Times New Roman" w:cs="Times New Roman"/>
          <w:sz w:val="20"/>
          <w:szCs w:val="20"/>
        </w:rPr>
      </w:pPr>
      <w:r>
        <w:rPr>
          <w:rFonts w:ascii="Times New Roman" w:hAnsi="Times New Roman" w:cs="Times New Roman"/>
          <w:sz w:val="20"/>
          <w:szCs w:val="20"/>
        </w:rPr>
        <w:t>[15</w:t>
      </w:r>
      <w:r w:rsidRPr="003C17BA">
        <w:rPr>
          <w:rFonts w:ascii="Times New Roman" w:hAnsi="Times New Roman" w:cs="Times New Roman"/>
          <w:sz w:val="20"/>
          <w:szCs w:val="20"/>
        </w:rPr>
        <w:t xml:space="preserve">]. </w:t>
      </w:r>
      <w:r w:rsidR="003C17BA" w:rsidRPr="003C17BA">
        <w:rPr>
          <w:rFonts w:ascii="Times New Roman" w:hAnsi="Times New Roman" w:cs="Times New Roman"/>
          <w:sz w:val="20"/>
          <w:szCs w:val="20"/>
        </w:rPr>
        <w:t>DO Akinyele and RK Rayudu. Review of energy storage technologies for sustainable power networks. Sustainable Energy Technologies and Assessments, 8:74–91, 2014.</w:t>
      </w:r>
    </w:p>
    <w:sectPr w:rsidR="00106BC4" w:rsidRPr="00106BC4" w:rsidSect="00006A66">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333D0"/>
    <w:multiLevelType w:val="hybridMultilevel"/>
    <w:tmpl w:val="6F2EA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B614E2"/>
    <w:multiLevelType w:val="hybridMultilevel"/>
    <w:tmpl w:val="C53C37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CA226BA"/>
    <w:multiLevelType w:val="hybridMultilevel"/>
    <w:tmpl w:val="EC121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1A0CB4"/>
    <w:multiLevelType w:val="hybridMultilevel"/>
    <w:tmpl w:val="097424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0A5E58"/>
    <w:multiLevelType w:val="hybridMultilevel"/>
    <w:tmpl w:val="47CA9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D96749"/>
    <w:multiLevelType w:val="hybridMultilevel"/>
    <w:tmpl w:val="5B08C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C977FF8"/>
    <w:multiLevelType w:val="hybridMultilevel"/>
    <w:tmpl w:val="66B0E6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AC32E0"/>
    <w:multiLevelType w:val="hybridMultilevel"/>
    <w:tmpl w:val="FA5A1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2121654">
    <w:abstractNumId w:val="3"/>
  </w:num>
  <w:num w:numId="2" w16cid:durableId="39287300">
    <w:abstractNumId w:val="1"/>
  </w:num>
  <w:num w:numId="3" w16cid:durableId="692878262">
    <w:abstractNumId w:val="2"/>
  </w:num>
  <w:num w:numId="4" w16cid:durableId="416243691">
    <w:abstractNumId w:val="7"/>
  </w:num>
  <w:num w:numId="5" w16cid:durableId="70544311">
    <w:abstractNumId w:val="0"/>
  </w:num>
  <w:num w:numId="6" w16cid:durableId="1707438370">
    <w:abstractNumId w:val="5"/>
  </w:num>
  <w:num w:numId="7" w16cid:durableId="1803230385">
    <w:abstractNumId w:val="4"/>
  </w:num>
  <w:num w:numId="8" w16cid:durableId="2117691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0BF"/>
    <w:rsid w:val="00006A66"/>
    <w:rsid w:val="00021313"/>
    <w:rsid w:val="00060A7C"/>
    <w:rsid w:val="000E2402"/>
    <w:rsid w:val="000F2839"/>
    <w:rsid w:val="000F5E3A"/>
    <w:rsid w:val="00104F90"/>
    <w:rsid w:val="00106BC4"/>
    <w:rsid w:val="00111735"/>
    <w:rsid w:val="00172DBA"/>
    <w:rsid w:val="001A33D5"/>
    <w:rsid w:val="001C6F65"/>
    <w:rsid w:val="001D1D13"/>
    <w:rsid w:val="00203D93"/>
    <w:rsid w:val="0022431A"/>
    <w:rsid w:val="0024377A"/>
    <w:rsid w:val="00247084"/>
    <w:rsid w:val="0027542C"/>
    <w:rsid w:val="002761D6"/>
    <w:rsid w:val="00291B10"/>
    <w:rsid w:val="00296C07"/>
    <w:rsid w:val="002D7091"/>
    <w:rsid w:val="002F166E"/>
    <w:rsid w:val="003045D1"/>
    <w:rsid w:val="00342889"/>
    <w:rsid w:val="00391371"/>
    <w:rsid w:val="003939F3"/>
    <w:rsid w:val="00397452"/>
    <w:rsid w:val="003A3FD4"/>
    <w:rsid w:val="003C17BA"/>
    <w:rsid w:val="003C3537"/>
    <w:rsid w:val="003D14C5"/>
    <w:rsid w:val="003D6CF0"/>
    <w:rsid w:val="003E5D40"/>
    <w:rsid w:val="004150BF"/>
    <w:rsid w:val="004321F3"/>
    <w:rsid w:val="00460531"/>
    <w:rsid w:val="004776AF"/>
    <w:rsid w:val="004C3F9C"/>
    <w:rsid w:val="004E3579"/>
    <w:rsid w:val="004F34A3"/>
    <w:rsid w:val="00524BDF"/>
    <w:rsid w:val="005439F3"/>
    <w:rsid w:val="00573758"/>
    <w:rsid w:val="005752E7"/>
    <w:rsid w:val="00581B6B"/>
    <w:rsid w:val="00584BD0"/>
    <w:rsid w:val="005D68BD"/>
    <w:rsid w:val="0060451F"/>
    <w:rsid w:val="0061493D"/>
    <w:rsid w:val="006229A9"/>
    <w:rsid w:val="0064424E"/>
    <w:rsid w:val="00651B0D"/>
    <w:rsid w:val="0065227B"/>
    <w:rsid w:val="00686ECA"/>
    <w:rsid w:val="006C7F76"/>
    <w:rsid w:val="006D081D"/>
    <w:rsid w:val="006D2D3E"/>
    <w:rsid w:val="006F35C0"/>
    <w:rsid w:val="006F7839"/>
    <w:rsid w:val="007429DB"/>
    <w:rsid w:val="007767F9"/>
    <w:rsid w:val="00785BC8"/>
    <w:rsid w:val="007868D0"/>
    <w:rsid w:val="007B5BC4"/>
    <w:rsid w:val="007C046A"/>
    <w:rsid w:val="007D6142"/>
    <w:rsid w:val="007E146C"/>
    <w:rsid w:val="008054F4"/>
    <w:rsid w:val="00824A5A"/>
    <w:rsid w:val="008331B6"/>
    <w:rsid w:val="00835378"/>
    <w:rsid w:val="00872FDE"/>
    <w:rsid w:val="008A7922"/>
    <w:rsid w:val="008C637F"/>
    <w:rsid w:val="00931603"/>
    <w:rsid w:val="00942317"/>
    <w:rsid w:val="00950349"/>
    <w:rsid w:val="00955791"/>
    <w:rsid w:val="009B5B84"/>
    <w:rsid w:val="009F6034"/>
    <w:rsid w:val="00A04E0A"/>
    <w:rsid w:val="00A73962"/>
    <w:rsid w:val="00A83F21"/>
    <w:rsid w:val="00A908C9"/>
    <w:rsid w:val="00A92DE9"/>
    <w:rsid w:val="00AC62FC"/>
    <w:rsid w:val="00AF2616"/>
    <w:rsid w:val="00B00836"/>
    <w:rsid w:val="00B11CDD"/>
    <w:rsid w:val="00B214ED"/>
    <w:rsid w:val="00B47B56"/>
    <w:rsid w:val="00B53117"/>
    <w:rsid w:val="00B5530F"/>
    <w:rsid w:val="00B8599E"/>
    <w:rsid w:val="00B93682"/>
    <w:rsid w:val="00BB1429"/>
    <w:rsid w:val="00BD2208"/>
    <w:rsid w:val="00BD2A94"/>
    <w:rsid w:val="00BE52AC"/>
    <w:rsid w:val="00C057A8"/>
    <w:rsid w:val="00C14D46"/>
    <w:rsid w:val="00C303E1"/>
    <w:rsid w:val="00C37506"/>
    <w:rsid w:val="00C5271A"/>
    <w:rsid w:val="00C662AB"/>
    <w:rsid w:val="00D009F5"/>
    <w:rsid w:val="00D86026"/>
    <w:rsid w:val="00D9099F"/>
    <w:rsid w:val="00D90E1C"/>
    <w:rsid w:val="00DA3B9D"/>
    <w:rsid w:val="00DB14D6"/>
    <w:rsid w:val="00DD18AF"/>
    <w:rsid w:val="00DF15F0"/>
    <w:rsid w:val="00DF2919"/>
    <w:rsid w:val="00DF520B"/>
    <w:rsid w:val="00E10DB4"/>
    <w:rsid w:val="00E336D8"/>
    <w:rsid w:val="00E5056A"/>
    <w:rsid w:val="00E56C3A"/>
    <w:rsid w:val="00E91C1B"/>
    <w:rsid w:val="00E9629E"/>
    <w:rsid w:val="00EA17B0"/>
    <w:rsid w:val="00EF494B"/>
    <w:rsid w:val="00F04714"/>
    <w:rsid w:val="00F07CEE"/>
    <w:rsid w:val="00F33617"/>
    <w:rsid w:val="00F45554"/>
    <w:rsid w:val="00F605C2"/>
    <w:rsid w:val="00F8509D"/>
    <w:rsid w:val="00F951F2"/>
    <w:rsid w:val="00FA3CD3"/>
    <w:rsid w:val="00FB7CBD"/>
    <w:rsid w:val="00FC09CD"/>
    <w:rsid w:val="00FE0647"/>
    <w:rsid w:val="00FE358F"/>
    <w:rsid w:val="00FE6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862D"/>
  <w15:chartTrackingRefBased/>
  <w15:docId w15:val="{7490124A-3957-47C5-8821-E2DB6003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5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6A66"/>
    <w:rPr>
      <w:color w:val="0563C1" w:themeColor="hyperlink"/>
      <w:u w:val="single"/>
    </w:rPr>
  </w:style>
  <w:style w:type="character" w:styleId="UnresolvedMention">
    <w:name w:val="Unresolved Mention"/>
    <w:basedOn w:val="DefaultParagraphFont"/>
    <w:uiPriority w:val="99"/>
    <w:semiHidden/>
    <w:unhideWhenUsed/>
    <w:rsid w:val="00006A66"/>
    <w:rPr>
      <w:color w:val="605E5C"/>
      <w:shd w:val="clear" w:color="auto" w:fill="E1DFDD"/>
    </w:rPr>
  </w:style>
  <w:style w:type="paragraph" w:styleId="NormalWeb">
    <w:name w:val="Normal (Web)"/>
    <w:basedOn w:val="Normal"/>
    <w:uiPriority w:val="99"/>
    <w:unhideWhenUsed/>
    <w:rsid w:val="004E35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8C637F"/>
    <w:pPr>
      <w:spacing w:after="0" w:line="240" w:lineRule="auto"/>
    </w:pPr>
  </w:style>
  <w:style w:type="paragraph" w:styleId="ListParagraph">
    <w:name w:val="List Paragraph"/>
    <w:basedOn w:val="Normal"/>
    <w:uiPriority w:val="34"/>
    <w:qFormat/>
    <w:rsid w:val="00291B10"/>
    <w:pPr>
      <w:ind w:left="720"/>
      <w:contextualSpacing/>
    </w:pPr>
  </w:style>
  <w:style w:type="character" w:styleId="PlaceholderText">
    <w:name w:val="Placeholder Text"/>
    <w:basedOn w:val="DefaultParagraphFont"/>
    <w:uiPriority w:val="99"/>
    <w:semiHidden/>
    <w:rsid w:val="009B5B84"/>
    <w:rPr>
      <w:color w:val="666666"/>
    </w:rPr>
  </w:style>
  <w:style w:type="character" w:customStyle="1" w:styleId="mwvive">
    <w:name w:val="mwvive"/>
    <w:basedOn w:val="DefaultParagraphFont"/>
    <w:rsid w:val="00581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998691">
      <w:bodyDiv w:val="1"/>
      <w:marLeft w:val="0"/>
      <w:marRight w:val="0"/>
      <w:marTop w:val="0"/>
      <w:marBottom w:val="0"/>
      <w:divBdr>
        <w:top w:val="none" w:sz="0" w:space="0" w:color="auto"/>
        <w:left w:val="none" w:sz="0" w:space="0" w:color="auto"/>
        <w:bottom w:val="none" w:sz="0" w:space="0" w:color="auto"/>
        <w:right w:val="none" w:sz="0" w:space="0" w:color="auto"/>
      </w:divBdr>
    </w:div>
    <w:div w:id="199649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9F5C72-0CDB-4D6C-981F-D2B16EB266EE}" type="doc">
      <dgm:prSet loTypeId="urn:microsoft.com/office/officeart/2005/8/layout/chevron2" loCatId="process" qsTypeId="urn:microsoft.com/office/officeart/2005/8/quickstyle/simple1" qsCatId="simple" csTypeId="urn:microsoft.com/office/officeart/2005/8/colors/colorful3" csCatId="colorful" phldr="1"/>
      <dgm:spPr/>
      <dgm:t>
        <a:bodyPr/>
        <a:lstStyle/>
        <a:p>
          <a:endParaRPr lang="en-IN"/>
        </a:p>
      </dgm:t>
    </dgm:pt>
    <dgm:pt modelId="{352F06CA-2490-41CB-B4AF-650333343CA0}">
      <dgm:prSet phldrT="[Text]" custT="1"/>
      <dgm:spPr/>
      <dgm:t>
        <a:bodyPr/>
        <a:lstStyle/>
        <a:p>
          <a:r>
            <a:rPr lang="en-IN" sz="1200">
              <a:solidFill>
                <a:schemeClr val="tx1"/>
              </a:solidFill>
              <a:latin typeface="Times New Roman" panose="02020603050405020304" pitchFamily="18" charset="0"/>
              <a:cs typeface="Times New Roman" panose="02020603050405020304" pitchFamily="18" charset="0"/>
            </a:rPr>
            <a:t>1</a:t>
          </a:r>
        </a:p>
      </dgm:t>
    </dgm:pt>
    <dgm:pt modelId="{533748FA-1A2A-4302-BEEA-AFE200B4F879}" type="parTrans" cxnId="{277A056A-9A38-4B3B-A5A9-279B7C3D0921}">
      <dgm:prSet/>
      <dgm:spPr/>
      <dgm:t>
        <a:bodyPr/>
        <a:lstStyle/>
        <a:p>
          <a:endParaRPr lang="en-IN"/>
        </a:p>
      </dgm:t>
    </dgm:pt>
    <dgm:pt modelId="{ED30EA5C-D6EF-4CEA-A501-87F3CFACEEEF}" type="sibTrans" cxnId="{277A056A-9A38-4B3B-A5A9-279B7C3D0921}">
      <dgm:prSet/>
      <dgm:spPr/>
      <dgm:t>
        <a:bodyPr/>
        <a:lstStyle/>
        <a:p>
          <a:endParaRPr lang="en-IN"/>
        </a:p>
      </dgm:t>
    </dgm:pt>
    <dgm:pt modelId="{EE7D7401-79ED-4123-AD28-4440C5154FC6}">
      <dgm:prSet phldrT="[Text]" custT="1"/>
      <dgm:spPr/>
      <dgm:t>
        <a:bodyPr/>
        <a:lstStyle/>
        <a:p>
          <a:r>
            <a:rPr lang="en-IN" sz="1200">
              <a:latin typeface="Times New Roman" panose="02020603050405020304" pitchFamily="18" charset="0"/>
              <a:cs typeface="Times New Roman" panose="02020603050405020304" pitchFamily="18" charset="0"/>
            </a:rPr>
            <a:t>Thermal energy</a:t>
          </a:r>
        </a:p>
      </dgm:t>
    </dgm:pt>
    <dgm:pt modelId="{87BDB202-93BC-4B88-9539-533CA3E246EE}" type="parTrans" cxnId="{D88A1AD5-1695-4FD4-AF1A-75EBCEB6997B}">
      <dgm:prSet/>
      <dgm:spPr/>
      <dgm:t>
        <a:bodyPr/>
        <a:lstStyle/>
        <a:p>
          <a:endParaRPr lang="en-IN"/>
        </a:p>
      </dgm:t>
    </dgm:pt>
    <dgm:pt modelId="{1F0FF301-49B5-4D32-984B-9F7943F88079}" type="sibTrans" cxnId="{D88A1AD5-1695-4FD4-AF1A-75EBCEB6997B}">
      <dgm:prSet/>
      <dgm:spPr/>
      <dgm:t>
        <a:bodyPr/>
        <a:lstStyle/>
        <a:p>
          <a:endParaRPr lang="en-IN"/>
        </a:p>
      </dgm:t>
    </dgm:pt>
    <dgm:pt modelId="{4103D27B-53CC-4120-A5A7-749BA550A439}">
      <dgm:prSet phldrT="[Text]" custT="1"/>
      <dgm:spPr/>
      <dgm:t>
        <a:bodyPr/>
        <a:lstStyle/>
        <a:p>
          <a:r>
            <a:rPr lang="en-IN" sz="1200">
              <a:solidFill>
                <a:schemeClr val="tx1"/>
              </a:solidFill>
              <a:latin typeface="Times New Roman" panose="02020603050405020304" pitchFamily="18" charset="0"/>
              <a:cs typeface="Times New Roman" panose="02020603050405020304" pitchFamily="18" charset="0"/>
            </a:rPr>
            <a:t>2</a:t>
          </a:r>
        </a:p>
      </dgm:t>
    </dgm:pt>
    <dgm:pt modelId="{9C1FF247-1D95-4F96-9AF4-2272410854C5}" type="parTrans" cxnId="{63D32432-B6EC-4F3A-9BC4-CD9C0CF34B1A}">
      <dgm:prSet/>
      <dgm:spPr/>
      <dgm:t>
        <a:bodyPr/>
        <a:lstStyle/>
        <a:p>
          <a:endParaRPr lang="en-IN"/>
        </a:p>
      </dgm:t>
    </dgm:pt>
    <dgm:pt modelId="{0E7AF200-4EAA-475E-8523-AC4A2CE46E3E}" type="sibTrans" cxnId="{63D32432-B6EC-4F3A-9BC4-CD9C0CF34B1A}">
      <dgm:prSet/>
      <dgm:spPr/>
      <dgm:t>
        <a:bodyPr/>
        <a:lstStyle/>
        <a:p>
          <a:endParaRPr lang="en-IN"/>
        </a:p>
      </dgm:t>
    </dgm:pt>
    <dgm:pt modelId="{50EBF239-129B-4B17-A7C5-2EB56E0D1AAE}">
      <dgm:prSet phldrT="[Text]" custT="1"/>
      <dgm:spPr/>
      <dgm:t>
        <a:bodyPr/>
        <a:lstStyle/>
        <a:p>
          <a:r>
            <a:rPr lang="en-IN" sz="1200">
              <a:latin typeface="Times New Roman" panose="02020603050405020304" pitchFamily="18" charset="0"/>
              <a:cs typeface="Times New Roman" panose="02020603050405020304" pitchFamily="18" charset="0"/>
            </a:rPr>
            <a:t>Mechanical energy</a:t>
          </a:r>
        </a:p>
      </dgm:t>
    </dgm:pt>
    <dgm:pt modelId="{17426D41-69AC-4437-BDE3-25C6CBE32543}" type="parTrans" cxnId="{8D38D7C4-D46D-4AEA-9DC8-3D791E2D5ACE}">
      <dgm:prSet/>
      <dgm:spPr/>
      <dgm:t>
        <a:bodyPr/>
        <a:lstStyle/>
        <a:p>
          <a:endParaRPr lang="en-IN"/>
        </a:p>
      </dgm:t>
    </dgm:pt>
    <dgm:pt modelId="{818E4A91-D163-4B13-BF40-FA37210E20DA}" type="sibTrans" cxnId="{8D38D7C4-D46D-4AEA-9DC8-3D791E2D5ACE}">
      <dgm:prSet/>
      <dgm:spPr/>
      <dgm:t>
        <a:bodyPr/>
        <a:lstStyle/>
        <a:p>
          <a:endParaRPr lang="en-IN"/>
        </a:p>
      </dgm:t>
    </dgm:pt>
    <dgm:pt modelId="{3763E54A-D179-4032-A918-ECDAC9D845AC}">
      <dgm:prSet phldrT="[Text]" custT="1"/>
      <dgm:spPr/>
      <dgm:t>
        <a:bodyPr/>
        <a:lstStyle/>
        <a:p>
          <a:r>
            <a:rPr lang="en-IN" sz="1200" b="1">
              <a:solidFill>
                <a:schemeClr val="tx1"/>
              </a:solidFill>
              <a:latin typeface="Times New Roman" panose="02020603050405020304" pitchFamily="18" charset="0"/>
              <a:cs typeface="Times New Roman" panose="02020603050405020304" pitchFamily="18" charset="0"/>
            </a:rPr>
            <a:t>3</a:t>
          </a:r>
        </a:p>
      </dgm:t>
    </dgm:pt>
    <dgm:pt modelId="{4EA32B28-48E9-457B-AAAB-01CBA08755E7}" type="parTrans" cxnId="{BBFC6644-49DA-460B-89BD-4F8CF8BC1005}">
      <dgm:prSet/>
      <dgm:spPr/>
      <dgm:t>
        <a:bodyPr/>
        <a:lstStyle/>
        <a:p>
          <a:endParaRPr lang="en-IN"/>
        </a:p>
      </dgm:t>
    </dgm:pt>
    <dgm:pt modelId="{50E59A33-0B22-4B88-A1B8-80AC2F45AA5C}" type="sibTrans" cxnId="{BBFC6644-49DA-460B-89BD-4F8CF8BC1005}">
      <dgm:prSet/>
      <dgm:spPr/>
      <dgm:t>
        <a:bodyPr/>
        <a:lstStyle/>
        <a:p>
          <a:endParaRPr lang="en-IN"/>
        </a:p>
      </dgm:t>
    </dgm:pt>
    <dgm:pt modelId="{C187F80C-BF19-4B18-8334-54F715597B7E}">
      <dgm:prSet phldrT="[Text]" custT="1"/>
      <dgm:spPr/>
      <dgm:t>
        <a:bodyPr/>
        <a:lstStyle/>
        <a:p>
          <a:r>
            <a:rPr lang="en-IN" sz="1200">
              <a:latin typeface="Times New Roman" panose="02020603050405020304" pitchFamily="18" charset="0"/>
              <a:cs typeface="Times New Roman" panose="02020603050405020304" pitchFamily="18" charset="0"/>
            </a:rPr>
            <a:t>Electrical Energy</a:t>
          </a:r>
        </a:p>
      </dgm:t>
    </dgm:pt>
    <dgm:pt modelId="{71CBAB37-B32A-474D-8CC4-C454E2D1EF40}" type="parTrans" cxnId="{86A10384-ECB4-4B6E-A4B5-83DE4171C593}">
      <dgm:prSet/>
      <dgm:spPr/>
      <dgm:t>
        <a:bodyPr/>
        <a:lstStyle/>
        <a:p>
          <a:endParaRPr lang="en-IN"/>
        </a:p>
      </dgm:t>
    </dgm:pt>
    <dgm:pt modelId="{620E1FB6-4A3E-450C-BA82-76B86D53294E}" type="sibTrans" cxnId="{86A10384-ECB4-4B6E-A4B5-83DE4171C593}">
      <dgm:prSet/>
      <dgm:spPr/>
      <dgm:t>
        <a:bodyPr/>
        <a:lstStyle/>
        <a:p>
          <a:endParaRPr lang="en-IN"/>
        </a:p>
      </dgm:t>
    </dgm:pt>
    <dgm:pt modelId="{F9FE2853-F069-4556-876E-3300F2CBF91F}" type="pres">
      <dgm:prSet presAssocID="{FB9F5C72-0CDB-4D6C-981F-D2B16EB266EE}" presName="linearFlow" presStyleCnt="0">
        <dgm:presLayoutVars>
          <dgm:dir/>
          <dgm:animLvl val="lvl"/>
          <dgm:resizeHandles val="exact"/>
        </dgm:presLayoutVars>
      </dgm:prSet>
      <dgm:spPr/>
    </dgm:pt>
    <dgm:pt modelId="{2F20E374-6AC8-4353-AFC3-9CD46FE88421}" type="pres">
      <dgm:prSet presAssocID="{352F06CA-2490-41CB-B4AF-650333343CA0}" presName="composite" presStyleCnt="0"/>
      <dgm:spPr/>
    </dgm:pt>
    <dgm:pt modelId="{D2BF63E3-49E8-4A33-B438-8C3843A92F08}" type="pres">
      <dgm:prSet presAssocID="{352F06CA-2490-41CB-B4AF-650333343CA0}" presName="parentText" presStyleLbl="alignNode1" presStyleIdx="0" presStyleCnt="3">
        <dgm:presLayoutVars>
          <dgm:chMax val="1"/>
          <dgm:bulletEnabled val="1"/>
        </dgm:presLayoutVars>
      </dgm:prSet>
      <dgm:spPr/>
    </dgm:pt>
    <dgm:pt modelId="{A51AF05B-C6CA-43AA-8DEF-7584CD7DC58D}" type="pres">
      <dgm:prSet presAssocID="{352F06CA-2490-41CB-B4AF-650333343CA0}" presName="descendantText" presStyleLbl="alignAcc1" presStyleIdx="0" presStyleCnt="3">
        <dgm:presLayoutVars>
          <dgm:bulletEnabled val="1"/>
        </dgm:presLayoutVars>
      </dgm:prSet>
      <dgm:spPr/>
    </dgm:pt>
    <dgm:pt modelId="{6188C57B-B7D0-406C-B720-7AE1C5BE3878}" type="pres">
      <dgm:prSet presAssocID="{ED30EA5C-D6EF-4CEA-A501-87F3CFACEEEF}" presName="sp" presStyleCnt="0"/>
      <dgm:spPr/>
    </dgm:pt>
    <dgm:pt modelId="{06054651-E8D2-4CD7-B949-189859E54241}" type="pres">
      <dgm:prSet presAssocID="{4103D27B-53CC-4120-A5A7-749BA550A439}" presName="composite" presStyleCnt="0"/>
      <dgm:spPr/>
    </dgm:pt>
    <dgm:pt modelId="{4FF28832-9A20-40A3-AFF5-C7A092ED8C45}" type="pres">
      <dgm:prSet presAssocID="{4103D27B-53CC-4120-A5A7-749BA550A439}" presName="parentText" presStyleLbl="alignNode1" presStyleIdx="1" presStyleCnt="3" custLinFactNeighborX="2287">
        <dgm:presLayoutVars>
          <dgm:chMax val="1"/>
          <dgm:bulletEnabled val="1"/>
        </dgm:presLayoutVars>
      </dgm:prSet>
      <dgm:spPr/>
    </dgm:pt>
    <dgm:pt modelId="{E69F1F55-5C0D-412F-8E1A-B8AAC3B30F3D}" type="pres">
      <dgm:prSet presAssocID="{4103D27B-53CC-4120-A5A7-749BA550A439}" presName="descendantText" presStyleLbl="alignAcc1" presStyleIdx="1" presStyleCnt="3">
        <dgm:presLayoutVars>
          <dgm:bulletEnabled val="1"/>
        </dgm:presLayoutVars>
      </dgm:prSet>
      <dgm:spPr/>
    </dgm:pt>
    <dgm:pt modelId="{28B70114-1A6D-4047-B246-7A010D1B0534}" type="pres">
      <dgm:prSet presAssocID="{0E7AF200-4EAA-475E-8523-AC4A2CE46E3E}" presName="sp" presStyleCnt="0"/>
      <dgm:spPr/>
    </dgm:pt>
    <dgm:pt modelId="{37DCB47B-352F-4D35-9CE5-D5E94483AE74}" type="pres">
      <dgm:prSet presAssocID="{3763E54A-D179-4032-A918-ECDAC9D845AC}" presName="composite" presStyleCnt="0"/>
      <dgm:spPr/>
    </dgm:pt>
    <dgm:pt modelId="{5E621882-DA92-4E09-8A45-550E0E4D75EE}" type="pres">
      <dgm:prSet presAssocID="{3763E54A-D179-4032-A918-ECDAC9D845AC}" presName="parentText" presStyleLbl="alignNode1" presStyleIdx="2" presStyleCnt="3">
        <dgm:presLayoutVars>
          <dgm:chMax val="1"/>
          <dgm:bulletEnabled val="1"/>
        </dgm:presLayoutVars>
      </dgm:prSet>
      <dgm:spPr/>
    </dgm:pt>
    <dgm:pt modelId="{1ED01A98-A0F4-404B-89F3-6B42F0F018EE}" type="pres">
      <dgm:prSet presAssocID="{3763E54A-D179-4032-A918-ECDAC9D845AC}" presName="descendantText" presStyleLbl="alignAcc1" presStyleIdx="2" presStyleCnt="3">
        <dgm:presLayoutVars>
          <dgm:bulletEnabled val="1"/>
        </dgm:presLayoutVars>
      </dgm:prSet>
      <dgm:spPr/>
    </dgm:pt>
  </dgm:ptLst>
  <dgm:cxnLst>
    <dgm:cxn modelId="{15556012-A837-4FB1-A3D0-7FD129835767}" type="presOf" srcId="{50EBF239-129B-4B17-A7C5-2EB56E0D1AAE}" destId="{E69F1F55-5C0D-412F-8E1A-B8AAC3B30F3D}" srcOrd="0" destOrd="0" presId="urn:microsoft.com/office/officeart/2005/8/layout/chevron2"/>
    <dgm:cxn modelId="{63D32432-B6EC-4F3A-9BC4-CD9C0CF34B1A}" srcId="{FB9F5C72-0CDB-4D6C-981F-D2B16EB266EE}" destId="{4103D27B-53CC-4120-A5A7-749BA550A439}" srcOrd="1" destOrd="0" parTransId="{9C1FF247-1D95-4F96-9AF4-2272410854C5}" sibTransId="{0E7AF200-4EAA-475E-8523-AC4A2CE46E3E}"/>
    <dgm:cxn modelId="{9B852541-6E8F-40FE-ACA5-BCF153B93DBB}" type="presOf" srcId="{3763E54A-D179-4032-A918-ECDAC9D845AC}" destId="{5E621882-DA92-4E09-8A45-550E0E4D75EE}" srcOrd="0" destOrd="0" presId="urn:microsoft.com/office/officeart/2005/8/layout/chevron2"/>
    <dgm:cxn modelId="{BBFC6644-49DA-460B-89BD-4F8CF8BC1005}" srcId="{FB9F5C72-0CDB-4D6C-981F-D2B16EB266EE}" destId="{3763E54A-D179-4032-A918-ECDAC9D845AC}" srcOrd="2" destOrd="0" parTransId="{4EA32B28-48E9-457B-AAAB-01CBA08755E7}" sibTransId="{50E59A33-0B22-4B88-A1B8-80AC2F45AA5C}"/>
    <dgm:cxn modelId="{2BAF7B69-AF96-450F-898D-84EEB9E1FBE1}" type="presOf" srcId="{C187F80C-BF19-4B18-8334-54F715597B7E}" destId="{1ED01A98-A0F4-404B-89F3-6B42F0F018EE}" srcOrd="0" destOrd="0" presId="urn:microsoft.com/office/officeart/2005/8/layout/chevron2"/>
    <dgm:cxn modelId="{277A056A-9A38-4B3B-A5A9-279B7C3D0921}" srcId="{FB9F5C72-0CDB-4D6C-981F-D2B16EB266EE}" destId="{352F06CA-2490-41CB-B4AF-650333343CA0}" srcOrd="0" destOrd="0" parTransId="{533748FA-1A2A-4302-BEEA-AFE200B4F879}" sibTransId="{ED30EA5C-D6EF-4CEA-A501-87F3CFACEEEF}"/>
    <dgm:cxn modelId="{95087F51-9537-45B8-A7E1-CAD80C2A25D5}" type="presOf" srcId="{4103D27B-53CC-4120-A5A7-749BA550A439}" destId="{4FF28832-9A20-40A3-AFF5-C7A092ED8C45}" srcOrd="0" destOrd="0" presId="urn:microsoft.com/office/officeart/2005/8/layout/chevron2"/>
    <dgm:cxn modelId="{86A10384-ECB4-4B6E-A4B5-83DE4171C593}" srcId="{3763E54A-D179-4032-A918-ECDAC9D845AC}" destId="{C187F80C-BF19-4B18-8334-54F715597B7E}" srcOrd="0" destOrd="0" parTransId="{71CBAB37-B32A-474D-8CC4-C454E2D1EF40}" sibTransId="{620E1FB6-4A3E-450C-BA82-76B86D53294E}"/>
    <dgm:cxn modelId="{4C4FF797-F9BB-4951-B6D1-23FE7B2EFAAB}" type="presOf" srcId="{FB9F5C72-0CDB-4D6C-981F-D2B16EB266EE}" destId="{F9FE2853-F069-4556-876E-3300F2CBF91F}" srcOrd="0" destOrd="0" presId="urn:microsoft.com/office/officeart/2005/8/layout/chevron2"/>
    <dgm:cxn modelId="{96B8F9BD-ED60-4721-B769-2B55DE0E0993}" type="presOf" srcId="{EE7D7401-79ED-4123-AD28-4440C5154FC6}" destId="{A51AF05B-C6CA-43AA-8DEF-7584CD7DC58D}" srcOrd="0" destOrd="0" presId="urn:microsoft.com/office/officeart/2005/8/layout/chevron2"/>
    <dgm:cxn modelId="{8D38D7C4-D46D-4AEA-9DC8-3D791E2D5ACE}" srcId="{4103D27B-53CC-4120-A5A7-749BA550A439}" destId="{50EBF239-129B-4B17-A7C5-2EB56E0D1AAE}" srcOrd="0" destOrd="0" parTransId="{17426D41-69AC-4437-BDE3-25C6CBE32543}" sibTransId="{818E4A91-D163-4B13-BF40-FA37210E20DA}"/>
    <dgm:cxn modelId="{D88A1AD5-1695-4FD4-AF1A-75EBCEB6997B}" srcId="{352F06CA-2490-41CB-B4AF-650333343CA0}" destId="{EE7D7401-79ED-4123-AD28-4440C5154FC6}" srcOrd="0" destOrd="0" parTransId="{87BDB202-93BC-4B88-9539-533CA3E246EE}" sibTransId="{1F0FF301-49B5-4D32-984B-9F7943F88079}"/>
    <dgm:cxn modelId="{1254A5E6-D171-41C8-9B8F-74B4D2686383}" type="presOf" srcId="{352F06CA-2490-41CB-B4AF-650333343CA0}" destId="{D2BF63E3-49E8-4A33-B438-8C3843A92F08}" srcOrd="0" destOrd="0" presId="urn:microsoft.com/office/officeart/2005/8/layout/chevron2"/>
    <dgm:cxn modelId="{44C91B2F-8F0B-4CDF-9FB5-45429ABFA9FC}" type="presParOf" srcId="{F9FE2853-F069-4556-876E-3300F2CBF91F}" destId="{2F20E374-6AC8-4353-AFC3-9CD46FE88421}" srcOrd="0" destOrd="0" presId="urn:microsoft.com/office/officeart/2005/8/layout/chevron2"/>
    <dgm:cxn modelId="{C145BDF9-525E-47D6-A245-C5E9C81BFDF9}" type="presParOf" srcId="{2F20E374-6AC8-4353-AFC3-9CD46FE88421}" destId="{D2BF63E3-49E8-4A33-B438-8C3843A92F08}" srcOrd="0" destOrd="0" presId="urn:microsoft.com/office/officeart/2005/8/layout/chevron2"/>
    <dgm:cxn modelId="{F927ED19-EEE7-4FE9-B9A7-E0B9D03AFB3C}" type="presParOf" srcId="{2F20E374-6AC8-4353-AFC3-9CD46FE88421}" destId="{A51AF05B-C6CA-43AA-8DEF-7584CD7DC58D}" srcOrd="1" destOrd="0" presId="urn:microsoft.com/office/officeart/2005/8/layout/chevron2"/>
    <dgm:cxn modelId="{93E66296-2AB6-4E85-9A0E-76E2B77E0380}" type="presParOf" srcId="{F9FE2853-F069-4556-876E-3300F2CBF91F}" destId="{6188C57B-B7D0-406C-B720-7AE1C5BE3878}" srcOrd="1" destOrd="0" presId="urn:microsoft.com/office/officeart/2005/8/layout/chevron2"/>
    <dgm:cxn modelId="{195EC156-DE88-4CE6-B6B4-483E8CCE59BB}" type="presParOf" srcId="{F9FE2853-F069-4556-876E-3300F2CBF91F}" destId="{06054651-E8D2-4CD7-B949-189859E54241}" srcOrd="2" destOrd="0" presId="urn:microsoft.com/office/officeart/2005/8/layout/chevron2"/>
    <dgm:cxn modelId="{8362CA23-B0F1-4878-8E9D-93132164C5A0}" type="presParOf" srcId="{06054651-E8D2-4CD7-B949-189859E54241}" destId="{4FF28832-9A20-40A3-AFF5-C7A092ED8C45}" srcOrd="0" destOrd="0" presId="urn:microsoft.com/office/officeart/2005/8/layout/chevron2"/>
    <dgm:cxn modelId="{C2D780A4-4744-4927-8DD8-D294121BA2DA}" type="presParOf" srcId="{06054651-E8D2-4CD7-B949-189859E54241}" destId="{E69F1F55-5C0D-412F-8E1A-B8AAC3B30F3D}" srcOrd="1" destOrd="0" presId="urn:microsoft.com/office/officeart/2005/8/layout/chevron2"/>
    <dgm:cxn modelId="{A2D797B4-7F15-41B1-9730-5C3C79ACCAD0}" type="presParOf" srcId="{F9FE2853-F069-4556-876E-3300F2CBF91F}" destId="{28B70114-1A6D-4047-B246-7A010D1B0534}" srcOrd="3" destOrd="0" presId="urn:microsoft.com/office/officeart/2005/8/layout/chevron2"/>
    <dgm:cxn modelId="{B4A836EE-4B61-4CD0-9565-2C6C5423421D}" type="presParOf" srcId="{F9FE2853-F069-4556-876E-3300F2CBF91F}" destId="{37DCB47B-352F-4D35-9CE5-D5E94483AE74}" srcOrd="4" destOrd="0" presId="urn:microsoft.com/office/officeart/2005/8/layout/chevron2"/>
    <dgm:cxn modelId="{EE47A798-663D-4B13-9A3C-D94935619BA5}" type="presParOf" srcId="{37DCB47B-352F-4D35-9CE5-D5E94483AE74}" destId="{5E621882-DA92-4E09-8A45-550E0E4D75EE}" srcOrd="0" destOrd="0" presId="urn:microsoft.com/office/officeart/2005/8/layout/chevron2"/>
    <dgm:cxn modelId="{C3FAFA19-EA06-4E4A-80B9-7B442EB40AAE}" type="presParOf" srcId="{37DCB47B-352F-4D35-9CE5-D5E94483AE74}" destId="{1ED01A98-A0F4-404B-89F3-6B42F0F018EE}" srcOrd="1" destOrd="0" presId="urn:microsoft.com/office/officeart/2005/8/layout/chevron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BF63E3-49E8-4A33-B438-8C3843A92F08}">
      <dsp:nvSpPr>
        <dsp:cNvPr id="0" name=""/>
        <dsp:cNvSpPr/>
      </dsp:nvSpPr>
      <dsp:spPr>
        <a:xfrm rot="5400000">
          <a:off x="-110008" y="110385"/>
          <a:ext cx="733387" cy="513371"/>
        </a:xfrm>
        <a:prstGeom prst="chevron">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solidFill>
                <a:schemeClr val="tx1"/>
              </a:solidFill>
              <a:latin typeface="Times New Roman" panose="02020603050405020304" pitchFamily="18" charset="0"/>
              <a:cs typeface="Times New Roman" panose="02020603050405020304" pitchFamily="18" charset="0"/>
            </a:rPr>
            <a:t>1</a:t>
          </a:r>
        </a:p>
      </dsp:txBody>
      <dsp:txXfrm rot="-5400000">
        <a:off x="1" y="257063"/>
        <a:ext cx="513371" cy="220016"/>
      </dsp:txXfrm>
    </dsp:sp>
    <dsp:sp modelId="{A51AF05B-C6CA-43AA-8DEF-7584CD7DC58D}">
      <dsp:nvSpPr>
        <dsp:cNvPr id="0" name=""/>
        <dsp:cNvSpPr/>
      </dsp:nvSpPr>
      <dsp:spPr>
        <a:xfrm rot="5400000">
          <a:off x="1408984" y="-895235"/>
          <a:ext cx="476702" cy="2267928"/>
        </a:xfrm>
        <a:prstGeom prst="round2Same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Thermal energy</a:t>
          </a:r>
        </a:p>
      </dsp:txBody>
      <dsp:txXfrm rot="-5400000">
        <a:off x="513372" y="23648"/>
        <a:ext cx="2244657" cy="430160"/>
      </dsp:txXfrm>
    </dsp:sp>
    <dsp:sp modelId="{4FF28832-9A20-40A3-AFF5-C7A092ED8C45}">
      <dsp:nvSpPr>
        <dsp:cNvPr id="0" name=""/>
        <dsp:cNvSpPr/>
      </dsp:nvSpPr>
      <dsp:spPr>
        <a:xfrm rot="5400000">
          <a:off x="-98267" y="619614"/>
          <a:ext cx="733387" cy="513371"/>
        </a:xfrm>
        <a:prstGeom prst="chevron">
          <a:avLst/>
        </a:prstGeom>
        <a:solidFill>
          <a:schemeClr val="accent3">
            <a:hueOff val="1355300"/>
            <a:satOff val="50000"/>
            <a:lumOff val="-7353"/>
            <a:alphaOff val="0"/>
          </a:schemeClr>
        </a:solidFill>
        <a:ln w="12700" cap="flat" cmpd="sng" algn="ctr">
          <a:solidFill>
            <a:schemeClr val="accent3">
              <a:hueOff val="1355300"/>
              <a:satOff val="50000"/>
              <a:lumOff val="-735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kern="1200">
              <a:solidFill>
                <a:schemeClr val="tx1"/>
              </a:solidFill>
              <a:latin typeface="Times New Roman" panose="02020603050405020304" pitchFamily="18" charset="0"/>
              <a:cs typeface="Times New Roman" panose="02020603050405020304" pitchFamily="18" charset="0"/>
            </a:rPr>
            <a:t>2</a:t>
          </a:r>
        </a:p>
      </dsp:txBody>
      <dsp:txXfrm rot="-5400000">
        <a:off x="11742" y="766292"/>
        <a:ext cx="513371" cy="220016"/>
      </dsp:txXfrm>
    </dsp:sp>
    <dsp:sp modelId="{E69F1F55-5C0D-412F-8E1A-B8AAC3B30F3D}">
      <dsp:nvSpPr>
        <dsp:cNvPr id="0" name=""/>
        <dsp:cNvSpPr/>
      </dsp:nvSpPr>
      <dsp:spPr>
        <a:xfrm rot="5400000">
          <a:off x="1408984" y="-386007"/>
          <a:ext cx="476702" cy="2267928"/>
        </a:xfrm>
        <a:prstGeom prst="round2SameRect">
          <a:avLst/>
        </a:prstGeom>
        <a:solidFill>
          <a:schemeClr val="lt1">
            <a:alpha val="90000"/>
            <a:hueOff val="0"/>
            <a:satOff val="0"/>
            <a:lumOff val="0"/>
            <a:alphaOff val="0"/>
          </a:schemeClr>
        </a:solidFill>
        <a:ln w="12700" cap="flat" cmpd="sng" algn="ctr">
          <a:solidFill>
            <a:schemeClr val="accent3">
              <a:hueOff val="1355300"/>
              <a:satOff val="50000"/>
              <a:lumOff val="-735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Mechanical energy</a:t>
          </a:r>
        </a:p>
      </dsp:txBody>
      <dsp:txXfrm rot="-5400000">
        <a:off x="513372" y="532876"/>
        <a:ext cx="2244657" cy="430160"/>
      </dsp:txXfrm>
    </dsp:sp>
    <dsp:sp modelId="{5E621882-DA92-4E09-8A45-550E0E4D75EE}">
      <dsp:nvSpPr>
        <dsp:cNvPr id="0" name=""/>
        <dsp:cNvSpPr/>
      </dsp:nvSpPr>
      <dsp:spPr>
        <a:xfrm rot="5400000">
          <a:off x="-110008" y="1128843"/>
          <a:ext cx="733387" cy="513371"/>
        </a:xfrm>
        <a:prstGeom prst="chevron">
          <a:avLst/>
        </a:prstGeom>
        <a:solidFill>
          <a:schemeClr val="accent3">
            <a:hueOff val="2710599"/>
            <a:satOff val="100000"/>
            <a:lumOff val="-14706"/>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1" kern="1200">
              <a:solidFill>
                <a:schemeClr val="tx1"/>
              </a:solidFill>
              <a:latin typeface="Times New Roman" panose="02020603050405020304" pitchFamily="18" charset="0"/>
              <a:cs typeface="Times New Roman" panose="02020603050405020304" pitchFamily="18" charset="0"/>
            </a:rPr>
            <a:t>3</a:t>
          </a:r>
        </a:p>
      </dsp:txBody>
      <dsp:txXfrm rot="-5400000">
        <a:off x="1" y="1275521"/>
        <a:ext cx="513371" cy="220016"/>
      </dsp:txXfrm>
    </dsp:sp>
    <dsp:sp modelId="{1ED01A98-A0F4-404B-89F3-6B42F0F018EE}">
      <dsp:nvSpPr>
        <dsp:cNvPr id="0" name=""/>
        <dsp:cNvSpPr/>
      </dsp:nvSpPr>
      <dsp:spPr>
        <a:xfrm rot="5400000">
          <a:off x="1408984" y="123221"/>
          <a:ext cx="476702" cy="2267928"/>
        </a:xfrm>
        <a:prstGeom prst="round2SameRect">
          <a:avLst/>
        </a:prstGeom>
        <a:solidFill>
          <a:schemeClr val="lt1">
            <a:alpha val="90000"/>
            <a:hueOff val="0"/>
            <a:satOff val="0"/>
            <a:lumOff val="0"/>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Electrical Energy</a:t>
          </a:r>
        </a:p>
      </dsp:txBody>
      <dsp:txXfrm rot="-5400000">
        <a:off x="513372" y="1042105"/>
        <a:ext cx="2244657" cy="43016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7</Pages>
  <Words>4290</Words>
  <Characters>24456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94</cp:revision>
  <cp:lastPrinted>2023-12-07T04:41:00Z</cp:lastPrinted>
  <dcterms:created xsi:type="dcterms:W3CDTF">2023-11-28T13:58:00Z</dcterms:created>
  <dcterms:modified xsi:type="dcterms:W3CDTF">2023-12-11T04:23:00Z</dcterms:modified>
</cp:coreProperties>
</file>