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4C38A" w14:textId="77777777" w:rsidR="00EF5009" w:rsidRDefault="00EF5009" w:rsidP="00EF5009">
      <w:pPr>
        <w:spacing w:after="0" w:line="240" w:lineRule="auto"/>
        <w:rPr>
          <w:b/>
          <w:sz w:val="40"/>
          <w:szCs w:val="40"/>
        </w:rPr>
      </w:pPr>
      <w:r w:rsidRPr="000F7E5A">
        <w:rPr>
          <w:rFonts w:asciiTheme="majorHAnsi" w:hAnsiTheme="majorHAnsi"/>
          <w:b/>
          <w:sz w:val="40"/>
          <w:szCs w:val="40"/>
        </w:rPr>
        <w:t>Resilience Through Sustainability: Adaptation to Climate Change</w:t>
      </w:r>
      <w:r>
        <w:rPr>
          <w:b/>
          <w:sz w:val="40"/>
          <w:szCs w:val="40"/>
        </w:rPr>
        <w:t xml:space="preserve"> </w:t>
      </w:r>
    </w:p>
    <w:p w14:paraId="1A4E6D10" w14:textId="77777777" w:rsidR="00EF5009" w:rsidRDefault="00EF5009" w:rsidP="00EF5009">
      <w:pPr>
        <w:spacing w:after="0" w:line="240" w:lineRule="auto"/>
        <w:rPr>
          <w:rFonts w:ascii="Times New Roman"/>
          <w:sz w:val="24"/>
          <w:szCs w:val="24"/>
        </w:rPr>
      </w:pPr>
      <w:r>
        <w:rPr>
          <w:rFonts w:ascii="Times New Roman"/>
          <w:sz w:val="24"/>
          <w:szCs w:val="24"/>
        </w:rPr>
        <w:t>Varun Kumar Choudhary,</w:t>
      </w:r>
    </w:p>
    <w:p w14:paraId="4DBAAFD1" w14:textId="350A36FF" w:rsidR="00EF5009" w:rsidRDefault="00EF5009" w:rsidP="00EF5009">
      <w:pPr>
        <w:pStyle w:val="Authors"/>
        <w:framePr w:w="0" w:hSpace="0" w:vSpace="0" w:wrap="auto" w:vAnchor="margin" w:hAnchor="text" w:xAlign="left" w:yAlign="inline"/>
        <w:spacing w:after="0"/>
        <w:jc w:val="left"/>
        <w:rPr>
          <w:i/>
          <w:sz w:val="20"/>
          <w:szCs w:val="20"/>
        </w:rPr>
      </w:pPr>
      <w:r>
        <w:rPr>
          <w:i/>
          <w:sz w:val="20"/>
          <w:szCs w:val="20"/>
          <w:vertAlign w:val="superscript"/>
        </w:rPr>
        <w:t>1</w:t>
      </w:r>
      <w:r>
        <w:rPr>
          <w:i/>
          <w:sz w:val="20"/>
          <w:szCs w:val="20"/>
        </w:rPr>
        <w:t xml:space="preserve">(FMS, Mohanlal Sukhadia </w:t>
      </w:r>
      <w:r w:rsidR="001634B9">
        <w:rPr>
          <w:i/>
          <w:sz w:val="20"/>
          <w:szCs w:val="20"/>
        </w:rPr>
        <w:t>University, Udaipur,</w:t>
      </w:r>
      <w:r>
        <w:rPr>
          <w:i/>
          <w:sz w:val="20"/>
          <w:szCs w:val="20"/>
        </w:rPr>
        <w:t xml:space="preserve"> India) </w:t>
      </w:r>
    </w:p>
    <w:p w14:paraId="0DF7B6D3" w14:textId="77777777" w:rsidR="00EF5009" w:rsidRDefault="00EF5009" w:rsidP="00EF5009">
      <w:pPr>
        <w:spacing w:after="0" w:line="240" w:lineRule="auto"/>
        <w:rPr>
          <w:rFonts w:ascii="Times New Roman"/>
          <w:i/>
          <w:sz w:val="20"/>
          <w:szCs w:val="20"/>
        </w:rPr>
      </w:pPr>
      <w:r>
        <w:rPr>
          <w:rFonts w:ascii="Times New Roman"/>
          <w:i/>
          <w:sz w:val="20"/>
          <w:szCs w:val="20"/>
        </w:rPr>
        <w:t>Corresponding Author: Email: varun.vgsom@gmail.com</w:t>
      </w:r>
    </w:p>
    <w:p w14:paraId="6F81FB03" w14:textId="77777777" w:rsidR="000F7E5A" w:rsidRDefault="000F7E5A" w:rsidP="00EF5009">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0F7E5A" w14:paraId="18993E6D" w14:textId="77777777" w:rsidTr="002F3F96">
        <w:trPr>
          <w:trHeight w:val="2182"/>
        </w:trPr>
        <w:tc>
          <w:tcPr>
            <w:tcW w:w="10409" w:type="dxa"/>
          </w:tcPr>
          <w:p w14:paraId="68879866" w14:textId="77777777" w:rsidR="000F7E5A" w:rsidRDefault="000F7E5A" w:rsidP="00EF5009">
            <w:pPr>
              <w:pBdr>
                <w:top w:val="single" w:sz="4" w:space="1" w:color="auto"/>
              </w:pBdr>
              <w:jc w:val="both"/>
              <w:rPr>
                <w:rFonts w:ascii="Times New Roman"/>
                <w:b/>
                <w:i/>
                <w:szCs w:val="20"/>
                <w:lang w:bidi="hi-IN"/>
              </w:rPr>
            </w:pPr>
          </w:p>
          <w:p w14:paraId="1BCE1D44" w14:textId="77777777" w:rsidR="00EF5009" w:rsidRPr="000F7E5A" w:rsidRDefault="00EF5009" w:rsidP="00EF5009">
            <w:pPr>
              <w:pStyle w:val="Heading1"/>
              <w:spacing w:before="0"/>
              <w:jc w:val="both"/>
              <w:rPr>
                <w:rFonts w:ascii="Times New Roman" w:eastAsiaTheme="minorEastAsia" w:hAnsiTheme="minorHAnsi" w:cstheme="minorBidi"/>
                <w:b w:val="0"/>
                <w:bCs w:val="0"/>
                <w:i/>
                <w:iCs/>
                <w:color w:val="auto"/>
                <w:sz w:val="20"/>
                <w:szCs w:val="20"/>
                <w:lang w:bidi="hi-IN"/>
              </w:rPr>
            </w:pPr>
            <w:r w:rsidRPr="000F7E5A">
              <w:rPr>
                <w:rFonts w:ascii="Times New Roman" w:eastAsiaTheme="minorEastAsia" w:hAnsiTheme="minorHAnsi" w:cstheme="minorBidi"/>
                <w:bCs w:val="0"/>
                <w:i/>
                <w:color w:val="auto"/>
                <w:sz w:val="22"/>
                <w:szCs w:val="20"/>
                <w:lang w:bidi="hi-IN"/>
              </w:rPr>
              <w:t>Abstract</w:t>
            </w:r>
            <w:r>
              <w:rPr>
                <w:rFonts w:ascii="Times New Roman" w:eastAsiaTheme="minorEastAsia" w:hAnsiTheme="minorHAnsi" w:cstheme="minorBidi"/>
                <w:bCs w:val="0"/>
                <w:i/>
                <w:color w:val="auto"/>
                <w:sz w:val="22"/>
                <w:szCs w:val="20"/>
                <w:lang w:bidi="hi-IN"/>
              </w:rPr>
              <w:t xml:space="preserve">: </w:t>
            </w:r>
            <w:r w:rsidRPr="000F7E5A">
              <w:rPr>
                <w:rFonts w:ascii="Times New Roman" w:eastAsiaTheme="minorEastAsia" w:hAnsiTheme="minorHAnsi" w:cstheme="minorBidi"/>
                <w:b w:val="0"/>
                <w:bCs w:val="0"/>
                <w:i/>
                <w:iCs/>
                <w:color w:val="auto"/>
                <w:sz w:val="20"/>
                <w:szCs w:val="20"/>
                <w:lang w:bidi="hi-IN"/>
              </w:rPr>
              <w:t>Regions vulnerable to climate change, such as South-West Rajasthan, experience a heightened risk of suffering climate-related impacts. The mining industry faces multiple risks and challenges from gradual climate stressors like increased temperatures, environmental degradation, limited water availability, and the unpredictability of rainfall. Not only do these factors impact business operations, but they jeopardize the future of the community and ecological balance as well. As a result, mining companies face dual business challenges that focus on climate resilience and ensuring operational continuity.</w:t>
            </w:r>
          </w:p>
          <w:p w14:paraId="4D457772" w14:textId="77777777" w:rsidR="00EF5009" w:rsidRPr="000F7E5A" w:rsidRDefault="00EF5009" w:rsidP="00EF5009">
            <w:pPr>
              <w:jc w:val="both"/>
              <w:rPr>
                <w:rFonts w:ascii="Times New Roman"/>
                <w:i/>
                <w:iCs/>
                <w:sz w:val="20"/>
                <w:szCs w:val="20"/>
                <w:lang w:bidi="hi-IN"/>
              </w:rPr>
            </w:pPr>
            <w:r w:rsidRPr="000F7E5A">
              <w:rPr>
                <w:rFonts w:ascii="Times New Roman"/>
                <w:i/>
                <w:iCs/>
                <w:sz w:val="20"/>
                <w:szCs w:val="20"/>
                <w:lang w:bidi="hi-IN"/>
              </w:rPr>
              <w:t>In this context, operational risks related to water scarcity, extreme heat, and unpredictable monsoon patterns impact mineral processing, energy demand, and employee safety. Furthermore, there is a notable shift in community attitudes alongside increased regulatory focus on environmentally responsible governance and corporate social responsibility. In the context of South-West Rajasthan, traditional regenerative extractive forms of mining are no longer tenable. Achieving a balance between maintaining the reputation of economical top performers and socio-environmental activists responsive to public interest is urgent.</w:t>
            </w:r>
          </w:p>
          <w:p w14:paraId="7D041DA9" w14:textId="30ABF344" w:rsidR="00EF5009" w:rsidRPr="000F7E5A" w:rsidRDefault="00EF5009" w:rsidP="00EF5009">
            <w:pPr>
              <w:jc w:val="both"/>
              <w:rPr>
                <w:rFonts w:ascii="Times New Roman"/>
                <w:i/>
                <w:iCs/>
                <w:sz w:val="20"/>
                <w:szCs w:val="20"/>
                <w:lang w:bidi="hi-IN"/>
              </w:rPr>
            </w:pPr>
            <w:r w:rsidRPr="000F7E5A">
              <w:rPr>
                <w:rFonts w:ascii="Times New Roman"/>
                <w:i/>
                <w:iCs/>
                <w:sz w:val="20"/>
                <w:szCs w:val="20"/>
                <w:lang w:bidi="hi-IN"/>
              </w:rPr>
              <w:t xml:space="preserve">This study explores the ways in which sustainability strategies are used by mining firms in South-West Rajasthan to enhance their resilience toward climate impacts using </w:t>
            </w:r>
            <w:r w:rsidR="00E63697" w:rsidRPr="000F7E5A">
              <w:rPr>
                <w:rFonts w:ascii="Times New Roman"/>
                <w:i/>
                <w:iCs/>
                <w:sz w:val="20"/>
                <w:szCs w:val="20"/>
                <w:lang w:bidi="hi-IN"/>
              </w:rPr>
              <w:t>a quantitative analysis</w:t>
            </w:r>
            <w:r w:rsidRPr="000F7E5A">
              <w:rPr>
                <w:rFonts w:ascii="Times New Roman"/>
                <w:i/>
                <w:iCs/>
                <w:sz w:val="20"/>
                <w:szCs w:val="20"/>
                <w:lang w:bidi="hi-IN"/>
              </w:rPr>
              <w:t>. Our analysis reveals that firms adopting integrated sustainability approaches are able to flexibly adapt and further, sustain productivity during climate-related risks, and defend stakeholder trust. Moreover, such companies by actively participating in local livelihood projects, health, and education tend to strengthen social capital, which improves collective resilience toward environmental disaster.</w:t>
            </w:r>
          </w:p>
          <w:p w14:paraId="21F2E704" w14:textId="77777777" w:rsidR="00EF5009" w:rsidRPr="000F7E5A" w:rsidRDefault="00EF5009" w:rsidP="00EF5009">
            <w:pPr>
              <w:jc w:val="both"/>
              <w:rPr>
                <w:rFonts w:ascii="Times New Roman"/>
                <w:i/>
                <w:iCs/>
                <w:sz w:val="20"/>
                <w:szCs w:val="20"/>
                <w:lang w:bidi="hi-IN"/>
              </w:rPr>
            </w:pPr>
            <w:r w:rsidRPr="000F7E5A">
              <w:rPr>
                <w:rFonts w:ascii="Times New Roman"/>
                <w:i/>
                <w:iCs/>
                <w:sz w:val="20"/>
                <w:szCs w:val="20"/>
                <w:lang w:bidi="hi-IN"/>
              </w:rPr>
              <w:t>This paper aims to the lack of evidence that attempts to explore the relationship between sustainability actions and resilience impacts in the context of the mining industry in less developed regions. By highlighting the coping mechanisms of these firms in South-West Rajasthan, the research draws attention to the need to address actively sustainability as a mechanism for resilience reinforcement in climate-vulnerable regions. It strengthens the argument that sustainable mining goes beyond compliance, but rather, it leads to wealth in the form of enhancing competitiveness, risk reduction, and ecological responsibility.</w:t>
            </w:r>
          </w:p>
          <w:p w14:paraId="7E95396D" w14:textId="77777777" w:rsidR="00EF5009" w:rsidRPr="000F7E5A" w:rsidRDefault="00EF5009" w:rsidP="00EF5009">
            <w:pPr>
              <w:pStyle w:val="Heading1"/>
              <w:spacing w:before="0"/>
              <w:jc w:val="both"/>
              <w:rPr>
                <w:rFonts w:ascii="Times New Roman" w:eastAsiaTheme="minorEastAsia" w:hAnsiTheme="minorHAnsi" w:cstheme="minorBidi"/>
                <w:b w:val="0"/>
                <w:bCs w:val="0"/>
                <w:i/>
                <w:iCs/>
                <w:color w:val="auto"/>
                <w:sz w:val="20"/>
                <w:szCs w:val="20"/>
                <w:lang w:bidi="hi-IN"/>
              </w:rPr>
            </w:pPr>
            <w:r w:rsidRPr="000F7E5A">
              <w:rPr>
                <w:rFonts w:ascii="Times New Roman" w:eastAsiaTheme="minorEastAsia" w:hAnsiTheme="minorHAnsi" w:cstheme="minorBidi"/>
                <w:i/>
                <w:iCs/>
                <w:color w:val="auto"/>
                <w:sz w:val="22"/>
                <w:szCs w:val="20"/>
                <w:lang w:bidi="hi-IN"/>
              </w:rPr>
              <w:t>Keywords</w:t>
            </w:r>
            <w:r>
              <w:rPr>
                <w:rFonts w:ascii="Times New Roman" w:eastAsiaTheme="minorEastAsia" w:hAnsiTheme="minorHAnsi" w:cstheme="minorBidi"/>
                <w:i/>
                <w:iCs/>
                <w:color w:val="auto"/>
                <w:sz w:val="22"/>
                <w:szCs w:val="20"/>
                <w:lang w:bidi="hi-IN"/>
              </w:rPr>
              <w:t xml:space="preserve">: </w:t>
            </w:r>
            <w:r w:rsidRPr="000F7E5A">
              <w:rPr>
                <w:rFonts w:ascii="Times New Roman" w:eastAsiaTheme="minorEastAsia" w:hAnsiTheme="minorHAnsi" w:cstheme="minorBidi"/>
                <w:b w:val="0"/>
                <w:bCs w:val="0"/>
                <w:i/>
                <w:iCs/>
                <w:color w:val="auto"/>
                <w:sz w:val="20"/>
                <w:szCs w:val="20"/>
                <w:lang w:bidi="hi-IN"/>
              </w:rPr>
              <w:t>Sustainability, Climate Change, Resilience, Mining Industry, Rajasthan, Corporate Strategy, Adaptation, SPSS, Quantitative Analysis</w:t>
            </w:r>
          </w:p>
          <w:p w14:paraId="5A5C0E30" w14:textId="77777777" w:rsidR="000F7E5A" w:rsidRDefault="000F7E5A" w:rsidP="00EF5009">
            <w:pPr>
              <w:rPr>
                <w:rFonts w:ascii="Times New Roman"/>
                <w:i/>
                <w:sz w:val="20"/>
                <w:szCs w:val="20"/>
                <w:lang w:bidi="hi-IN"/>
              </w:rPr>
            </w:pPr>
          </w:p>
        </w:tc>
      </w:tr>
    </w:tbl>
    <w:p w14:paraId="7B990016" w14:textId="77777777" w:rsidR="000F7E5A" w:rsidRDefault="000F7E5A" w:rsidP="00EF5009">
      <w:pPr>
        <w:spacing w:after="0" w:line="240" w:lineRule="auto"/>
        <w:rPr>
          <w:rFonts w:ascii="Times New Roman"/>
          <w:b/>
          <w:szCs w:val="20"/>
        </w:rPr>
        <w:sectPr w:rsidR="000F7E5A" w:rsidSect="000F7E5A">
          <w:headerReference w:type="default" r:id="rId6"/>
          <w:footerReference w:type="default" r:id="rId7"/>
          <w:headerReference w:type="first" r:id="rId8"/>
          <w:footerReference w:type="first" r:id="rId9"/>
          <w:pgSz w:w="12240" w:h="15840"/>
          <w:pgMar w:top="1122" w:right="1080" w:bottom="1440" w:left="1276" w:header="540" w:footer="824" w:gutter="0"/>
          <w:pgNumType w:start="1"/>
          <w:cols w:space="720"/>
          <w:titlePg/>
        </w:sectPr>
      </w:pPr>
    </w:p>
    <w:p w14:paraId="6BF76339" w14:textId="77777777" w:rsidR="0043021C" w:rsidRPr="00E63697" w:rsidRDefault="00EF6094" w:rsidP="00EF5009">
      <w:pPr>
        <w:pStyle w:val="Heading1"/>
        <w:numPr>
          <w:ilvl w:val="0"/>
          <w:numId w:val="12"/>
        </w:numPr>
        <w:spacing w:before="0" w:line="240" w:lineRule="auto"/>
        <w:jc w:val="center"/>
        <w:rPr>
          <w:rFonts w:ascii="Times New Roman" w:eastAsiaTheme="minorEastAsia" w:hAnsi="Times New Roman" w:cs="Times New Roman"/>
          <w:bCs w:val="0"/>
          <w:color w:val="auto"/>
          <w:sz w:val="22"/>
          <w:szCs w:val="20"/>
        </w:rPr>
      </w:pPr>
      <w:r w:rsidRPr="00E63697">
        <w:rPr>
          <w:rFonts w:ascii="Times New Roman" w:eastAsiaTheme="minorEastAsia" w:hAnsi="Times New Roman" w:cs="Times New Roman"/>
          <w:bCs w:val="0"/>
          <w:color w:val="auto"/>
          <w:sz w:val="22"/>
          <w:szCs w:val="20"/>
        </w:rPr>
        <w:lastRenderedPageBreak/>
        <w:t>Introduction</w:t>
      </w:r>
    </w:p>
    <w:p w14:paraId="4F283FF4" w14:textId="77777777"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 xml:space="preserve">Climate change is perhaps the most defining issue across all </w:t>
      </w:r>
      <w:proofErr w:type="gramStart"/>
      <w:r w:rsidRPr="00E63697">
        <w:rPr>
          <w:rFonts w:ascii="Times New Roman" w:hAnsi="Times New Roman" w:cs="Times New Roman"/>
          <w:sz w:val="20"/>
          <w:szCs w:val="20"/>
        </w:rPr>
        <w:t>sectors,</w:t>
      </w:r>
      <w:proofErr w:type="gramEnd"/>
      <w:r w:rsidRPr="00E63697">
        <w:rPr>
          <w:rFonts w:ascii="Times New Roman" w:hAnsi="Times New Roman" w:cs="Times New Roman"/>
          <w:sz w:val="20"/>
          <w:szCs w:val="20"/>
        </w:rPr>
        <w:t xml:space="preserve"> however, the mining industry remains one of the most vulnerable due to its dependence and geographical anchor on natural resources. The physical climate risks associated with mines, like increasing temperatures, dwindling water supply, and severe weather conditions, place a direct risk on subsystems such as production processes, infrastructure, and the well-being of employees. In arid and semi-arid areas like South-West Rajasthan, where global warming is worsening extreme weather events, the impacts become more pronounced.</w:t>
      </w:r>
    </w:p>
    <w:p w14:paraId="562A4683" w14:textId="2D44B405"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Rajasthan is one of the leading states in India in terms of minerals which includes, zinc, limestone, and marble, also contributing to national gypsum output. The resource abundance does come at a cost, however, due to environmental obligations. Sustainability is of utmost concern in Rajasthan due to limited water supply, high evaporation rates, and frequent droughts. These climatic and geographic factors demand modern mining methods to be more resource efficient and adaptable to climate change</w:t>
      </w:r>
      <w:r w:rsidR="00806F1A" w:rsidRPr="00E63697">
        <w:rPr>
          <w:rFonts w:ascii="Times New Roman" w:hAnsi="Times New Roman" w:cs="Times New Roman"/>
          <w:sz w:val="20"/>
          <w:szCs w:val="20"/>
        </w:rPr>
        <w:t xml:space="preserve"> (Hodgkinson &amp; Smith, 2021)</w:t>
      </w:r>
      <w:r w:rsidRPr="00E63697">
        <w:rPr>
          <w:rFonts w:ascii="Times New Roman" w:hAnsi="Times New Roman" w:cs="Times New Roman"/>
          <w:sz w:val="20"/>
          <w:szCs w:val="20"/>
        </w:rPr>
        <w:t>. For a long time, businesses have been treating environment constraints as an afterthought but now, need to shift towards long-term integrated planning.</w:t>
      </w:r>
    </w:p>
    <w:p w14:paraId="2EDFE562" w14:textId="1BDD78A5"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The combination of climate-related challenges with the practices of extractive industries requires a change from conventional operational workflows to more adaptive, technologically advanced, and future-ready models. This change requires the addition of climate risk factors into business plans, enhancing the resiliency of critical infrastructure, restoring damaged ecosystems, and recovering other untapped resources</w:t>
      </w:r>
      <w:r w:rsidR="005A002D" w:rsidRPr="00E63697">
        <w:rPr>
          <w:rFonts w:ascii="Times New Roman" w:hAnsi="Times New Roman" w:cs="Times New Roman"/>
          <w:sz w:val="20"/>
          <w:szCs w:val="20"/>
        </w:rPr>
        <w:t xml:space="preserve"> (Ojo, 2024)</w:t>
      </w:r>
      <w:r w:rsidRPr="00E63697">
        <w:rPr>
          <w:rFonts w:ascii="Times New Roman" w:hAnsi="Times New Roman" w:cs="Times New Roman"/>
          <w:sz w:val="20"/>
          <w:szCs w:val="20"/>
        </w:rPr>
        <w:t>. Likewise, mining industries in Rajasthan are expected to align with evolving public relations mandates that require higher levels of openness, corporate social responsibility, and commitment towards sustainable development objectives.</w:t>
      </w:r>
    </w:p>
    <w:p w14:paraId="5E6FB99D" w14:textId="1BCADBE6"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In this regard, resilience is understood as a firm’s ability to foresee, prepare, respond to, and adapt to gradual and even abrupt changes and shocks resulting from climate impacts. This goes beyond reactive responses to extreme event mitigation and protraction toward reducing vulnerability, enhancing sustainability, and increasing resilience over time. Resilient firms are those best positioned to manage climate-related risks in comparison to competition in increasingly sustainability-focused markets</w:t>
      </w:r>
      <w:r w:rsidR="00A64316" w:rsidRPr="00E63697">
        <w:rPr>
          <w:rFonts w:ascii="Times New Roman" w:hAnsi="Times New Roman" w:cs="Times New Roman"/>
          <w:sz w:val="20"/>
          <w:szCs w:val="20"/>
        </w:rPr>
        <w:t xml:space="preserve"> (</w:t>
      </w:r>
      <w:proofErr w:type="spellStart"/>
      <w:r w:rsidR="00A64316" w:rsidRPr="00E63697">
        <w:rPr>
          <w:rFonts w:ascii="Times New Roman" w:hAnsi="Times New Roman" w:cs="Times New Roman"/>
          <w:sz w:val="20"/>
          <w:szCs w:val="20"/>
        </w:rPr>
        <w:t>Asgharinajib</w:t>
      </w:r>
      <w:proofErr w:type="spellEnd"/>
      <w:r w:rsidR="00A64316" w:rsidRPr="00E63697">
        <w:rPr>
          <w:rFonts w:ascii="Times New Roman" w:hAnsi="Times New Roman" w:cs="Times New Roman"/>
          <w:sz w:val="20"/>
          <w:szCs w:val="20"/>
        </w:rPr>
        <w:t xml:space="preserve"> et al., 2025)</w:t>
      </w:r>
      <w:r w:rsidRPr="00E63697">
        <w:rPr>
          <w:rFonts w:ascii="Times New Roman" w:hAnsi="Times New Roman" w:cs="Times New Roman"/>
          <w:sz w:val="20"/>
          <w:szCs w:val="20"/>
        </w:rPr>
        <w:t>.</w:t>
      </w:r>
    </w:p>
    <w:p w14:paraId="7F30B424" w14:textId="77777777"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Sustainable practices such as water and energy saving and collaboration with the community are methods through which resilience is achieved. Sponsored programs like rainwater harvesting system installations, use of solar energy in operations, and dry tailings adopting due to lower water dependency constitute these innovations. These aid firms in optimizing resource use, minimizing operational costs while complying with environmental policies</w:t>
      </w:r>
    </w:p>
    <w:p w14:paraId="0A7BCFCE" w14:textId="77777777"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 xml:space="preserve">Furthermore, involving the community is vital for building resilience. Mining companies that manage to develop trust and work together with the local people through social investment, education, and even through offering support for their means of livelihood are bound to obtain a social license to operate in the area for a considerably prolonged period of time. </w:t>
      </w:r>
      <w:proofErr w:type="gramStart"/>
      <w:r w:rsidRPr="00E63697">
        <w:rPr>
          <w:rFonts w:ascii="Times New Roman" w:hAnsi="Times New Roman" w:cs="Times New Roman"/>
          <w:sz w:val="20"/>
          <w:szCs w:val="20"/>
        </w:rPr>
        <w:t>This fosters</w:t>
      </w:r>
      <w:proofErr w:type="gramEnd"/>
      <w:r w:rsidRPr="00E63697">
        <w:rPr>
          <w:rFonts w:ascii="Times New Roman" w:hAnsi="Times New Roman" w:cs="Times New Roman"/>
          <w:sz w:val="20"/>
          <w:szCs w:val="20"/>
        </w:rPr>
        <w:t xml:space="preserve"> shared resilience in that the company and the people who live in the periphery have the ability to sustain climate change impacts.</w:t>
      </w:r>
    </w:p>
    <w:p w14:paraId="4ADFB5BA" w14:textId="0E030DB9" w:rsidR="00187030" w:rsidRPr="00E63697" w:rsidRDefault="0018703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To improve their longevity and societal license to operate at the same time, mining companies should integrate sustainability into their operational models</w:t>
      </w:r>
      <w:r w:rsidR="00B96161" w:rsidRPr="00E63697">
        <w:rPr>
          <w:rFonts w:ascii="Times New Roman" w:hAnsi="Times New Roman" w:cs="Times New Roman"/>
          <w:sz w:val="20"/>
          <w:szCs w:val="20"/>
        </w:rPr>
        <w:t xml:space="preserve"> (Verrier et al., 2022)</w:t>
      </w:r>
      <w:r w:rsidRPr="00E63697">
        <w:rPr>
          <w:rFonts w:ascii="Times New Roman" w:hAnsi="Times New Roman" w:cs="Times New Roman"/>
          <w:sz w:val="20"/>
          <w:szCs w:val="20"/>
        </w:rPr>
        <w:t xml:space="preserve">. With this strategy, the company will be shielded from environmental and reputational damage, mitigating risk while simultaneously presenting fresh prospects for innovation, efficiency, and stakeholder value creation. In an evolving climate, sustainability focused resilience will be the badge of </w:t>
      </w:r>
      <w:proofErr w:type="spellStart"/>
      <w:r w:rsidRPr="00E63697">
        <w:rPr>
          <w:rFonts w:ascii="Times New Roman" w:hAnsi="Times New Roman" w:cs="Times New Roman"/>
          <w:sz w:val="20"/>
          <w:szCs w:val="20"/>
        </w:rPr>
        <w:t>honor</w:t>
      </w:r>
      <w:proofErr w:type="spellEnd"/>
      <w:r w:rsidRPr="00E63697">
        <w:rPr>
          <w:rFonts w:ascii="Times New Roman" w:hAnsi="Times New Roman" w:cs="Times New Roman"/>
          <w:sz w:val="20"/>
          <w:szCs w:val="20"/>
        </w:rPr>
        <w:t xml:space="preserve"> for responsible and well-managed mining operations.</w:t>
      </w:r>
    </w:p>
    <w:p w14:paraId="390FAD8D" w14:textId="77777777" w:rsidR="001250A9" w:rsidRPr="00E63697" w:rsidRDefault="001250A9" w:rsidP="001250A9">
      <w:pPr>
        <w:spacing w:after="0" w:line="240" w:lineRule="auto"/>
        <w:ind w:firstLine="720"/>
        <w:jc w:val="both"/>
        <w:rPr>
          <w:rFonts w:ascii="Times New Roman" w:hAnsi="Times New Roman" w:cs="Times New Roman"/>
          <w:sz w:val="20"/>
          <w:szCs w:val="20"/>
        </w:rPr>
      </w:pPr>
    </w:p>
    <w:p w14:paraId="120A774A" w14:textId="77777777" w:rsidR="0043021C" w:rsidRPr="00E63697" w:rsidRDefault="00EF6094" w:rsidP="001250A9">
      <w:pPr>
        <w:pStyle w:val="Heading1"/>
        <w:numPr>
          <w:ilvl w:val="0"/>
          <w:numId w:val="12"/>
        </w:numPr>
        <w:spacing w:before="0" w:line="240" w:lineRule="auto"/>
        <w:ind w:firstLine="720"/>
        <w:jc w:val="center"/>
        <w:rPr>
          <w:rFonts w:ascii="Times New Roman" w:eastAsiaTheme="minorEastAsia" w:hAnsi="Times New Roman" w:cs="Times New Roman"/>
          <w:color w:val="auto"/>
          <w:sz w:val="20"/>
          <w:szCs w:val="20"/>
        </w:rPr>
      </w:pPr>
      <w:r w:rsidRPr="00E63697">
        <w:rPr>
          <w:rFonts w:ascii="Times New Roman" w:eastAsiaTheme="minorEastAsia" w:hAnsi="Times New Roman" w:cs="Times New Roman"/>
          <w:color w:val="auto"/>
          <w:sz w:val="20"/>
          <w:szCs w:val="20"/>
        </w:rPr>
        <w:t>Review of Literature</w:t>
      </w:r>
    </w:p>
    <w:p w14:paraId="02460C24" w14:textId="77777777" w:rsidR="00F4509C"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There are many studies focusing on the sustainability of the mining industry. For instance, Bebbington et al. (2008) accentuated the socio-ecological impact of mining on rural and environmentally vulnerable regions sustaining their resource base, since there is usually the exogenous ecologically disruptive resource harvesting is resource extracting mining is likely to use these areas as dumps. This means that mining firms need to be concerned with more than just economic returns. Mining social performance should seek to reconcile competitive socially important actions to increase the firm’s reputation and brand value and the environmental footprint.</w:t>
      </w:r>
    </w:p>
    <w:p w14:paraId="544C6B1D" w14:textId="77777777" w:rsidR="00F4509C"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 xml:space="preserve">According to Porter and Reinhardt (2007), sustainability becomes a competitive advantage when it is integrated into the core business strategy. They argue that firms which take socially and environmentally responsible approaches stand a better chance of innovating, spending less in the long run, and avoiding costs </w:t>
      </w:r>
      <w:r w:rsidRPr="00E63697">
        <w:rPr>
          <w:rFonts w:ascii="Times New Roman" w:hAnsi="Times New Roman" w:cs="Times New Roman"/>
          <w:sz w:val="20"/>
          <w:szCs w:val="20"/>
        </w:rPr>
        <w:lastRenderedPageBreak/>
        <w:t>associated with stakeholders, compliance, regulation, and opposition. This stance on sustainability reframes the issue from a compliance burden towards a more value-enhancing strategic asset for the firm.</w:t>
      </w:r>
    </w:p>
    <w:p w14:paraId="12B60D8F" w14:textId="77777777" w:rsidR="00F4509C"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Delmas and Toffel (2008) highlighted gaps in the organizational sense of sustainability where more focus is put towards responding to environmental opportunities and try to apply organizational factors like leadership, employee buy-in, and performance monitoring systems to sustainability efforts. Their findings advocate for more cohesive institutional frameworks dealing with environmental practices instead of piecemeal symbolic ones.</w:t>
      </w:r>
    </w:p>
    <w:p w14:paraId="6D32DF25" w14:textId="7FA59B35" w:rsidR="00F4509C"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These theories are particularly pertinent with regard to mining operations in climate-sensitive areas like South-West Rajasthan. The region is characterized by water shortages, intense temperatures, and unpredictable rainfall, which serve to greatly increase operational risk while requiring agility in response. Sustainable practices like minimizing water usage, harnessing renewable resources, and restoring damaged ecosystems can provide direct benefits in sustaining operations and garnering community goodwill</w:t>
      </w:r>
      <w:r w:rsidR="000701FA" w:rsidRPr="00E63697">
        <w:rPr>
          <w:rFonts w:ascii="Times New Roman" w:hAnsi="Times New Roman" w:cs="Times New Roman"/>
          <w:sz w:val="20"/>
          <w:szCs w:val="20"/>
        </w:rPr>
        <w:t xml:space="preserve"> (Selvakumar et al., 2025)</w:t>
      </w:r>
      <w:r w:rsidRPr="00E63697">
        <w:rPr>
          <w:rFonts w:ascii="Times New Roman" w:hAnsi="Times New Roman" w:cs="Times New Roman"/>
          <w:sz w:val="20"/>
          <w:szCs w:val="20"/>
        </w:rPr>
        <w:t>.</w:t>
      </w:r>
    </w:p>
    <w:p w14:paraId="53A7711F" w14:textId="77777777" w:rsidR="00F4509C"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Although the awareness has increased, there is still a large gap in how empirically developed mining firms in emerging economies integrate sustainability into operational resilience. In the existing literature, there has been too much focus on policy level or a conceptual framework and very little emphasis on ground level facts from resource-abundant, but ecologically fragile regions.</w:t>
      </w:r>
    </w:p>
    <w:p w14:paraId="184FF158" w14:textId="6C6231C7" w:rsidR="00686E6E" w:rsidRPr="00E63697" w:rsidRDefault="00F4509C"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This gap is approached by evaluating the linkage of sustainable practices and resilience outcomes using primary data. Through field surveys with leading participants, this study seeks to establish how sustainability is practiced and what real value it provides in a South-West Rajasthan context with regards to climate adaptation and risk reduction.</w:t>
      </w:r>
    </w:p>
    <w:p w14:paraId="7A6A6473" w14:textId="77777777" w:rsidR="001250A9" w:rsidRPr="00E63697" w:rsidRDefault="001250A9" w:rsidP="001250A9">
      <w:pPr>
        <w:spacing w:after="0" w:line="240" w:lineRule="auto"/>
        <w:ind w:firstLine="720"/>
        <w:jc w:val="both"/>
        <w:rPr>
          <w:rFonts w:ascii="Times New Roman" w:hAnsi="Times New Roman" w:cs="Times New Roman"/>
          <w:sz w:val="20"/>
          <w:szCs w:val="20"/>
        </w:rPr>
      </w:pPr>
    </w:p>
    <w:p w14:paraId="4DEA8606" w14:textId="77777777" w:rsidR="0043021C" w:rsidRPr="00E63697" w:rsidRDefault="00EF6094" w:rsidP="00EF5009">
      <w:pPr>
        <w:pStyle w:val="Heading1"/>
        <w:numPr>
          <w:ilvl w:val="0"/>
          <w:numId w:val="12"/>
        </w:numPr>
        <w:spacing w:before="0" w:line="240" w:lineRule="auto"/>
        <w:jc w:val="center"/>
        <w:rPr>
          <w:rFonts w:ascii="Times New Roman" w:eastAsiaTheme="minorEastAsia" w:hAnsi="Times New Roman" w:cs="Times New Roman"/>
          <w:color w:val="auto"/>
          <w:sz w:val="22"/>
          <w:szCs w:val="22"/>
        </w:rPr>
      </w:pPr>
      <w:r w:rsidRPr="00E63697">
        <w:rPr>
          <w:rFonts w:ascii="Times New Roman" w:eastAsiaTheme="minorEastAsia" w:hAnsi="Times New Roman" w:cs="Times New Roman"/>
          <w:color w:val="auto"/>
          <w:sz w:val="22"/>
          <w:szCs w:val="22"/>
        </w:rPr>
        <w:t>Research Methodology</w:t>
      </w:r>
    </w:p>
    <w:p w14:paraId="2F154939" w14:textId="3161594F" w:rsidR="006B7DD0" w:rsidRPr="00E63697" w:rsidRDefault="006B7DD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This study undertakes a quantitative approach to assess the link between the sustainable management practices and climate change adaptation capacity</w:t>
      </w:r>
      <w:r w:rsidR="003C3956" w:rsidRPr="00E63697">
        <w:rPr>
          <w:rFonts w:ascii="Times New Roman" w:hAnsi="Times New Roman" w:cs="Times New Roman"/>
          <w:sz w:val="20"/>
          <w:szCs w:val="20"/>
        </w:rPr>
        <w:t xml:space="preserve"> </w:t>
      </w:r>
      <w:r w:rsidRPr="00E63697">
        <w:rPr>
          <w:rFonts w:ascii="Times New Roman" w:hAnsi="Times New Roman" w:cs="Times New Roman"/>
          <w:sz w:val="20"/>
          <w:szCs w:val="20"/>
        </w:rPr>
        <w:t>of mining firms from South-West Rajasthan</w:t>
      </w:r>
      <w:r w:rsidR="001250A9" w:rsidRPr="00E63697">
        <w:rPr>
          <w:rFonts w:ascii="Times New Roman" w:hAnsi="Times New Roman" w:cs="Times New Roman"/>
          <w:sz w:val="20"/>
          <w:szCs w:val="20"/>
        </w:rPr>
        <w:t xml:space="preserve">. </w:t>
      </w:r>
      <w:r w:rsidRPr="00E63697">
        <w:rPr>
          <w:rFonts w:ascii="Times New Roman" w:hAnsi="Times New Roman" w:cs="Times New Roman"/>
          <w:sz w:val="20"/>
          <w:szCs w:val="20"/>
        </w:rPr>
        <w:t>A combination of descriptive and inferential analysis was performed. The primary data was collected through structured questionnaires and analyzed using SPSS.</w:t>
      </w:r>
    </w:p>
    <w:p w14:paraId="6F08B291" w14:textId="77777777" w:rsidR="001250A9" w:rsidRPr="00E63697" w:rsidRDefault="001250A9" w:rsidP="00EF5009">
      <w:pPr>
        <w:spacing w:after="0" w:line="240" w:lineRule="auto"/>
        <w:jc w:val="both"/>
        <w:rPr>
          <w:rFonts w:ascii="Times New Roman" w:hAnsi="Times New Roman" w:cs="Times New Roman"/>
          <w:sz w:val="20"/>
          <w:szCs w:val="20"/>
        </w:rPr>
      </w:pPr>
    </w:p>
    <w:p w14:paraId="5EA6DDB5" w14:textId="77777777" w:rsidR="006B7DD0" w:rsidRPr="00E63697" w:rsidRDefault="006B7DD0" w:rsidP="00EF5009">
      <w:pPr>
        <w:spacing w:after="0" w:line="240" w:lineRule="auto"/>
        <w:jc w:val="both"/>
        <w:rPr>
          <w:rFonts w:ascii="Times New Roman" w:hAnsi="Times New Roman" w:cs="Times New Roman"/>
          <w:b/>
          <w:bCs/>
          <w:sz w:val="20"/>
          <w:szCs w:val="20"/>
        </w:rPr>
      </w:pPr>
      <w:r w:rsidRPr="00E63697">
        <w:rPr>
          <w:rFonts w:ascii="Times New Roman" w:hAnsi="Times New Roman" w:cs="Times New Roman"/>
          <w:b/>
          <w:bCs/>
          <w:sz w:val="20"/>
          <w:szCs w:val="20"/>
        </w:rPr>
        <w:t>Sampling Technique:</w:t>
      </w:r>
    </w:p>
    <w:p w14:paraId="429445F7" w14:textId="26BF1609" w:rsidR="006B7DD0" w:rsidRPr="00E63697" w:rsidRDefault="006B7DD0" w:rsidP="00EF5009">
      <w:pPr>
        <w:numPr>
          <w:ilvl w:val="0"/>
          <w:numId w:val="10"/>
        </w:numPr>
        <w:spacing w:after="0" w:line="240" w:lineRule="auto"/>
        <w:jc w:val="both"/>
        <w:rPr>
          <w:rFonts w:ascii="Times New Roman" w:hAnsi="Times New Roman" w:cs="Times New Roman"/>
          <w:sz w:val="20"/>
          <w:szCs w:val="20"/>
        </w:rPr>
      </w:pPr>
      <w:r w:rsidRPr="00E63697">
        <w:rPr>
          <w:rFonts w:ascii="Times New Roman" w:hAnsi="Times New Roman" w:cs="Times New Roman"/>
          <w:sz w:val="20"/>
          <w:szCs w:val="20"/>
        </w:rPr>
        <w:t xml:space="preserve">The target population consists of mid and </w:t>
      </w:r>
      <w:r w:rsidR="00EB58FB" w:rsidRPr="00E63697">
        <w:rPr>
          <w:rFonts w:ascii="Times New Roman" w:hAnsi="Times New Roman" w:cs="Times New Roman"/>
          <w:sz w:val="20"/>
          <w:szCs w:val="20"/>
        </w:rPr>
        <w:t>large-scale</w:t>
      </w:r>
      <w:r w:rsidRPr="00E63697">
        <w:rPr>
          <w:rFonts w:ascii="Times New Roman" w:hAnsi="Times New Roman" w:cs="Times New Roman"/>
          <w:sz w:val="20"/>
          <w:szCs w:val="20"/>
        </w:rPr>
        <w:t xml:space="preserve"> mining firms located on the South-West part of Rajasthan.</w:t>
      </w:r>
    </w:p>
    <w:p w14:paraId="4D4CED12" w14:textId="77777777" w:rsidR="006B7DD0" w:rsidRPr="00E63697" w:rsidRDefault="006B7DD0" w:rsidP="00EF5009">
      <w:pPr>
        <w:numPr>
          <w:ilvl w:val="0"/>
          <w:numId w:val="10"/>
        </w:numPr>
        <w:spacing w:after="0" w:line="240" w:lineRule="auto"/>
        <w:jc w:val="both"/>
        <w:rPr>
          <w:rFonts w:ascii="Times New Roman" w:hAnsi="Times New Roman" w:cs="Times New Roman"/>
          <w:sz w:val="20"/>
          <w:szCs w:val="20"/>
        </w:rPr>
      </w:pPr>
      <w:r w:rsidRPr="00E63697">
        <w:rPr>
          <w:rFonts w:ascii="Times New Roman" w:hAnsi="Times New Roman" w:cs="Times New Roman"/>
          <w:sz w:val="20"/>
          <w:szCs w:val="20"/>
        </w:rPr>
        <w:t>Sample size: 50 respondents (10 from each of the 10 selected mining companies) comprising of environmental officers, sustainability managers, and senior executives.</w:t>
      </w:r>
    </w:p>
    <w:p w14:paraId="1B2FAB4D" w14:textId="77777777" w:rsidR="006B7DD0" w:rsidRPr="00E63697" w:rsidRDefault="006B7DD0" w:rsidP="00EF5009">
      <w:pPr>
        <w:numPr>
          <w:ilvl w:val="0"/>
          <w:numId w:val="10"/>
        </w:numPr>
        <w:spacing w:after="0" w:line="240" w:lineRule="auto"/>
        <w:jc w:val="both"/>
        <w:rPr>
          <w:rFonts w:ascii="Times New Roman" w:hAnsi="Times New Roman" w:cs="Times New Roman"/>
          <w:sz w:val="20"/>
          <w:szCs w:val="20"/>
        </w:rPr>
      </w:pPr>
      <w:r w:rsidRPr="00E63697">
        <w:rPr>
          <w:rFonts w:ascii="Times New Roman" w:hAnsi="Times New Roman" w:cs="Times New Roman"/>
          <w:sz w:val="20"/>
          <w:szCs w:val="20"/>
        </w:rPr>
        <w:t>Sampling Method: Purposive sampling.</w:t>
      </w:r>
    </w:p>
    <w:p w14:paraId="0ECB61B2" w14:textId="77777777" w:rsidR="006B7DD0" w:rsidRPr="00E63697" w:rsidRDefault="006B7DD0" w:rsidP="001250A9">
      <w:pPr>
        <w:spacing w:after="0" w:line="240" w:lineRule="auto"/>
        <w:ind w:firstLine="720"/>
        <w:jc w:val="both"/>
        <w:rPr>
          <w:rFonts w:ascii="Times New Roman" w:hAnsi="Times New Roman" w:cs="Times New Roman"/>
          <w:sz w:val="20"/>
          <w:szCs w:val="20"/>
        </w:rPr>
      </w:pPr>
      <w:r w:rsidRPr="00E63697">
        <w:rPr>
          <w:rFonts w:ascii="Times New Roman" w:hAnsi="Times New Roman" w:cs="Times New Roman"/>
          <w:sz w:val="20"/>
          <w:szCs w:val="20"/>
        </w:rPr>
        <w:t>In order to validate the instrument's effectiveness, a pilot test was conducted with 10 respondents, allowing for relevant changes to be made within the questions to better meet the focus of the research. The finalized instrument composed of a questionnaire consisting of 25 questions divided into 5 dimensions of sustainability and 1 dimension of resilience. Over the span of three months, data gathering was done through both electronic and physical means.</w:t>
      </w:r>
    </w:p>
    <w:p w14:paraId="66B0FD89" w14:textId="77777777" w:rsidR="001250A9" w:rsidRPr="00E63697" w:rsidRDefault="001250A9" w:rsidP="001250A9">
      <w:pPr>
        <w:spacing w:after="0" w:line="240" w:lineRule="auto"/>
        <w:ind w:firstLine="720"/>
        <w:jc w:val="both"/>
        <w:rPr>
          <w:rFonts w:ascii="Times New Roman" w:hAnsi="Times New Roman" w:cs="Times New Roman"/>
          <w:sz w:val="20"/>
          <w:szCs w:val="20"/>
        </w:rPr>
      </w:pPr>
    </w:p>
    <w:p w14:paraId="2B6FB066" w14:textId="77777777" w:rsidR="006B7DD0" w:rsidRPr="00E63697" w:rsidRDefault="006B7DD0" w:rsidP="00EF5009">
      <w:pPr>
        <w:spacing w:after="0" w:line="240" w:lineRule="auto"/>
        <w:jc w:val="both"/>
        <w:rPr>
          <w:rFonts w:ascii="Times New Roman" w:hAnsi="Times New Roman" w:cs="Times New Roman"/>
          <w:b/>
          <w:bCs/>
          <w:sz w:val="20"/>
          <w:szCs w:val="20"/>
        </w:rPr>
      </w:pPr>
      <w:r w:rsidRPr="00E63697">
        <w:rPr>
          <w:rFonts w:ascii="Times New Roman" w:hAnsi="Times New Roman" w:cs="Times New Roman"/>
          <w:b/>
          <w:bCs/>
          <w:sz w:val="20"/>
          <w:szCs w:val="20"/>
        </w:rPr>
        <w:t>Variables:</w:t>
      </w:r>
    </w:p>
    <w:p w14:paraId="76CEFE83" w14:textId="77777777" w:rsidR="006B7DD0" w:rsidRPr="00E63697" w:rsidRDefault="006B7DD0" w:rsidP="00EF5009">
      <w:pPr>
        <w:spacing w:after="0" w:line="240" w:lineRule="auto"/>
        <w:jc w:val="both"/>
        <w:rPr>
          <w:rFonts w:ascii="Times New Roman" w:hAnsi="Times New Roman" w:cs="Times New Roman"/>
          <w:sz w:val="20"/>
          <w:szCs w:val="20"/>
        </w:rPr>
      </w:pPr>
      <w:r w:rsidRPr="00E63697">
        <w:rPr>
          <w:rFonts w:ascii="Times New Roman" w:hAnsi="Times New Roman" w:cs="Times New Roman"/>
          <w:b/>
          <w:bCs/>
          <w:sz w:val="20"/>
          <w:szCs w:val="20"/>
        </w:rPr>
        <w:t>Independent Variables:</w:t>
      </w:r>
      <w:r w:rsidRPr="00E63697">
        <w:rPr>
          <w:rFonts w:ascii="Times New Roman" w:hAnsi="Times New Roman" w:cs="Times New Roman"/>
          <w:sz w:val="20"/>
          <w:szCs w:val="20"/>
        </w:rPr>
        <w:t xml:space="preserve"> Water conserving measures, utilization of renewable energy resources, waste mitigation, environmental education, and active participation in the community.</w:t>
      </w:r>
    </w:p>
    <w:p w14:paraId="7E06D009" w14:textId="77777777" w:rsidR="006B7DD0" w:rsidRPr="00E63697" w:rsidRDefault="006B7DD0" w:rsidP="00EF5009">
      <w:pPr>
        <w:spacing w:after="0" w:line="240" w:lineRule="auto"/>
        <w:jc w:val="both"/>
        <w:rPr>
          <w:rFonts w:ascii="Times New Roman" w:hAnsi="Times New Roman" w:cs="Times New Roman"/>
          <w:sz w:val="20"/>
          <w:szCs w:val="20"/>
        </w:rPr>
      </w:pPr>
      <w:r w:rsidRPr="00E63697">
        <w:rPr>
          <w:rFonts w:ascii="Times New Roman" w:hAnsi="Times New Roman" w:cs="Times New Roman"/>
          <w:b/>
          <w:bCs/>
          <w:sz w:val="20"/>
          <w:szCs w:val="20"/>
        </w:rPr>
        <w:t>Dependent Variable:</w:t>
      </w:r>
      <w:r w:rsidRPr="00E63697">
        <w:rPr>
          <w:rFonts w:ascii="Times New Roman" w:hAnsi="Times New Roman" w:cs="Times New Roman"/>
          <w:sz w:val="20"/>
          <w:szCs w:val="20"/>
        </w:rPr>
        <w:t xml:space="preserve"> Climate change impact resilience.</w:t>
      </w:r>
    </w:p>
    <w:p w14:paraId="6667F190" w14:textId="2E1EB439" w:rsidR="006B7DD0" w:rsidRPr="00E63697" w:rsidRDefault="006B7DD0" w:rsidP="00EF5009">
      <w:pPr>
        <w:spacing w:after="0" w:line="240" w:lineRule="auto"/>
        <w:jc w:val="both"/>
        <w:rPr>
          <w:rFonts w:ascii="Times New Roman" w:hAnsi="Times New Roman" w:cs="Times New Roman"/>
          <w:sz w:val="20"/>
          <w:szCs w:val="20"/>
        </w:rPr>
      </w:pPr>
      <w:r w:rsidRPr="00E63697">
        <w:rPr>
          <w:rFonts w:ascii="Times New Roman" w:hAnsi="Times New Roman" w:cs="Times New Roman"/>
          <w:sz w:val="20"/>
          <w:szCs w:val="20"/>
        </w:rPr>
        <w:t xml:space="preserve">The data was </w:t>
      </w:r>
      <w:proofErr w:type="spellStart"/>
      <w:r w:rsidRPr="00E63697">
        <w:rPr>
          <w:rFonts w:ascii="Times New Roman" w:hAnsi="Times New Roman" w:cs="Times New Roman"/>
          <w:sz w:val="20"/>
          <w:szCs w:val="20"/>
        </w:rPr>
        <w:t>analyzed</w:t>
      </w:r>
      <w:proofErr w:type="spellEnd"/>
      <w:r w:rsidRPr="00E63697">
        <w:rPr>
          <w:rFonts w:ascii="Times New Roman" w:hAnsi="Times New Roman" w:cs="Times New Roman"/>
          <w:sz w:val="20"/>
          <w:szCs w:val="20"/>
        </w:rPr>
        <w:t xml:space="preserve"> and computed through SPSS using descriptive statistics and reliability analysis (Cronbach’s Alpha), Pearson correlation, and regression.</w:t>
      </w:r>
    </w:p>
    <w:p w14:paraId="7D49C7B9" w14:textId="77777777" w:rsidR="001250A9" w:rsidRPr="00E63697" w:rsidRDefault="001250A9" w:rsidP="00EF5009">
      <w:pPr>
        <w:spacing w:after="0" w:line="240" w:lineRule="auto"/>
        <w:jc w:val="both"/>
        <w:rPr>
          <w:rFonts w:ascii="Times New Roman" w:hAnsi="Times New Roman" w:cs="Times New Roman"/>
          <w:sz w:val="20"/>
          <w:szCs w:val="20"/>
        </w:rPr>
      </w:pPr>
    </w:p>
    <w:p w14:paraId="0386DE6E" w14:textId="5A5FFAF4" w:rsidR="00686E6E" w:rsidRPr="00E63697" w:rsidRDefault="00686E6E" w:rsidP="00EF5009">
      <w:pPr>
        <w:pStyle w:val="Heading1"/>
        <w:spacing w:before="0" w:line="240" w:lineRule="auto"/>
        <w:rPr>
          <w:rFonts w:ascii="Times New Roman" w:eastAsiaTheme="minorEastAsia" w:hAnsi="Times New Roman" w:cs="Times New Roman"/>
          <w:color w:val="auto"/>
          <w:sz w:val="20"/>
          <w:szCs w:val="20"/>
        </w:rPr>
      </w:pPr>
      <w:r w:rsidRPr="00E63697">
        <w:rPr>
          <w:rFonts w:ascii="Times New Roman" w:eastAsiaTheme="minorEastAsia" w:hAnsi="Times New Roman" w:cs="Times New Roman"/>
          <w:color w:val="auto"/>
          <w:sz w:val="20"/>
          <w:szCs w:val="20"/>
        </w:rPr>
        <w:t>Conceptual Framework</w:t>
      </w:r>
    </w:p>
    <w:p w14:paraId="44E8DF6D" w14:textId="798977C9" w:rsidR="00686E6E" w:rsidRPr="00E63697" w:rsidRDefault="006B7DD0" w:rsidP="001250A9">
      <w:pPr>
        <w:pStyle w:val="BodyText0"/>
        <w:spacing w:after="0" w:line="240" w:lineRule="auto"/>
        <w:ind w:firstLine="720"/>
        <w:jc w:val="both"/>
        <w:rPr>
          <w:rFonts w:cs="Times New Roman"/>
          <w:sz w:val="20"/>
          <w:szCs w:val="20"/>
        </w:rPr>
      </w:pPr>
      <w:r w:rsidRPr="00E63697">
        <w:rPr>
          <w:rFonts w:cs="Times New Roman"/>
          <w:sz w:val="20"/>
          <w:szCs w:val="20"/>
        </w:rPr>
        <w:t xml:space="preserve">The integration of the Natural Resource-Based View (NRBV) along with the principles of ESG forms the conceptual framework that guides this study. It aims to understand how mining companies within the context of South-West Rajasthan sustain climate vulnerability </w:t>
      </w:r>
      <w:proofErr w:type="spellStart"/>
      <w:r w:rsidRPr="00E63697">
        <w:rPr>
          <w:rFonts w:cs="Times New Roman"/>
          <w:sz w:val="20"/>
          <w:szCs w:val="20"/>
        </w:rPr>
        <w:t>sustainabilty</w:t>
      </w:r>
      <w:proofErr w:type="spellEnd"/>
      <w:r w:rsidRPr="00E63697">
        <w:rPr>
          <w:rFonts w:cs="Times New Roman"/>
          <w:sz w:val="20"/>
          <w:szCs w:val="20"/>
        </w:rPr>
        <w:t xml:space="preserve"> regions implement sustainability as a strategic resource to strengthen climate resilience. The model assumes that no single step can be taken in isolation. For instance, sustainability actions concerning water conservation lower operational susceptibility to droughts while community participation enhances social license and local goodwill for use during times of environmental stress. The conceptual framework aids in policy evaluation and construction as well as empirical research.</w:t>
      </w:r>
    </w:p>
    <w:p w14:paraId="17EBBD0E" w14:textId="77777777" w:rsidR="001250A9" w:rsidRPr="00E63697" w:rsidRDefault="001250A9" w:rsidP="001250A9">
      <w:pPr>
        <w:pStyle w:val="BodyText0"/>
        <w:spacing w:after="0" w:line="240" w:lineRule="auto"/>
        <w:ind w:firstLine="720"/>
        <w:jc w:val="both"/>
        <w:rPr>
          <w:rFonts w:cs="Times New Roman"/>
          <w:sz w:val="20"/>
          <w:szCs w:val="20"/>
        </w:rPr>
      </w:pPr>
    </w:p>
    <w:p w14:paraId="30EF9296" w14:textId="5F51114D" w:rsidR="00686E6E" w:rsidRPr="00E63697" w:rsidRDefault="00686E6E" w:rsidP="00EF5009">
      <w:pPr>
        <w:pStyle w:val="ListParagraph"/>
        <w:numPr>
          <w:ilvl w:val="0"/>
          <w:numId w:val="12"/>
        </w:numPr>
        <w:spacing w:after="0" w:line="240" w:lineRule="auto"/>
        <w:jc w:val="center"/>
        <w:rPr>
          <w:rFonts w:ascii="Times New Roman" w:hAnsi="Times New Roman" w:cs="Times New Roman"/>
          <w:b/>
          <w:bCs/>
        </w:rPr>
      </w:pPr>
      <w:r w:rsidRPr="00E63697">
        <w:rPr>
          <w:rFonts w:ascii="Times New Roman" w:hAnsi="Times New Roman" w:cs="Times New Roman"/>
          <w:b/>
          <w:bCs/>
        </w:rPr>
        <w:t>Data Analysis</w:t>
      </w:r>
    </w:p>
    <w:p w14:paraId="438D7069" w14:textId="48D58DDD" w:rsidR="006B7DD0" w:rsidRPr="001634B9" w:rsidRDefault="00686E6E" w:rsidP="00EF5009">
      <w:pPr>
        <w:spacing w:after="0" w:line="240" w:lineRule="auto"/>
        <w:jc w:val="both"/>
        <w:rPr>
          <w:rFonts w:ascii="Times New Roman" w:hAnsi="Times New Roman" w:cs="Times New Roman"/>
          <w:sz w:val="20"/>
          <w:szCs w:val="20"/>
        </w:rPr>
      </w:pPr>
      <w:r w:rsidRPr="001634B9">
        <w:rPr>
          <w:rFonts w:ascii="Times New Roman" w:hAnsi="Times New Roman" w:cs="Times New Roman"/>
          <w:b/>
          <w:bCs/>
          <w:sz w:val="20"/>
          <w:szCs w:val="20"/>
        </w:rPr>
        <w:t>Descriptive Statistics</w:t>
      </w:r>
      <w:r w:rsidR="00D951DB" w:rsidRPr="001634B9">
        <w:rPr>
          <w:rFonts w:ascii="Times New Roman" w:hAnsi="Times New Roman" w:cs="Times New Roman"/>
          <w:sz w:val="20"/>
          <w:szCs w:val="20"/>
        </w:rPr>
        <w:t>:</w:t>
      </w:r>
      <w:r w:rsidRPr="001634B9">
        <w:rPr>
          <w:rFonts w:ascii="Times New Roman" w:hAnsi="Times New Roman" w:cs="Times New Roman"/>
          <w:sz w:val="20"/>
          <w:szCs w:val="20"/>
        </w:rPr>
        <w:t xml:space="preserve"> </w:t>
      </w:r>
      <w:r w:rsidR="006B7DD0" w:rsidRPr="001634B9">
        <w:rPr>
          <w:rFonts w:ascii="Times New Roman" w:hAnsi="Times New Roman" w:cs="Times New Roman"/>
          <w:sz w:val="20"/>
          <w:szCs w:val="20"/>
        </w:rPr>
        <w:t xml:space="preserve">A majority of firms conservatively estimated a 15–25% reduction in groundwater usage and a 30% increase in the use of renewable energy over a </w:t>
      </w:r>
      <w:proofErr w:type="gramStart"/>
      <w:r w:rsidR="006B7DD0" w:rsidRPr="001634B9">
        <w:rPr>
          <w:rFonts w:ascii="Times New Roman" w:hAnsi="Times New Roman" w:cs="Times New Roman"/>
          <w:sz w:val="20"/>
          <w:szCs w:val="20"/>
        </w:rPr>
        <w:t>5 year</w:t>
      </w:r>
      <w:proofErr w:type="gramEnd"/>
      <w:r w:rsidR="006B7DD0" w:rsidRPr="001634B9">
        <w:rPr>
          <w:rFonts w:ascii="Times New Roman" w:hAnsi="Times New Roman" w:cs="Times New Roman"/>
          <w:sz w:val="20"/>
          <w:szCs w:val="20"/>
        </w:rPr>
        <w:t xml:space="preserve"> period, indicating positive movement in energy conserving initiatives. Environmental consciousness initiatives were reported to be widely offered by the firms, but biodiversity related issues received unsatisfactory ratings in almost all categories.</w:t>
      </w:r>
    </w:p>
    <w:p w14:paraId="241E460F" w14:textId="77777777" w:rsidR="006B7DD0" w:rsidRPr="001634B9" w:rsidRDefault="006B7DD0" w:rsidP="00EF5009">
      <w:pPr>
        <w:spacing w:after="0" w:line="240" w:lineRule="auto"/>
        <w:jc w:val="both"/>
        <w:rPr>
          <w:rFonts w:ascii="Times New Roman" w:hAnsi="Times New Roman" w:cs="Times New Roman"/>
          <w:sz w:val="20"/>
          <w:szCs w:val="20"/>
        </w:rPr>
      </w:pPr>
      <w:r w:rsidRPr="001634B9">
        <w:rPr>
          <w:rFonts w:ascii="Times New Roman" w:hAnsi="Times New Roman" w:cs="Times New Roman"/>
          <w:sz w:val="20"/>
          <w:szCs w:val="20"/>
        </w:rPr>
        <w:t xml:space="preserve">More than 200 employees and formal sustainability programs seemed to coincide with dedicated budget allocation further suggesting a correlation. Smaller firms on the other hand, lacked the specialized staff and resources to support comprehensive environmental frameworks, resulting in fragmented or </w:t>
      </w:r>
      <w:proofErr w:type="spellStart"/>
      <w:r w:rsidRPr="001634B9">
        <w:rPr>
          <w:rFonts w:ascii="Times New Roman" w:hAnsi="Times New Roman" w:cs="Times New Roman"/>
          <w:sz w:val="20"/>
          <w:szCs w:val="20"/>
        </w:rPr>
        <w:t>unstructered</w:t>
      </w:r>
      <w:proofErr w:type="spellEnd"/>
      <w:r w:rsidRPr="001634B9">
        <w:rPr>
          <w:rFonts w:ascii="Times New Roman" w:hAnsi="Times New Roman" w:cs="Times New Roman"/>
          <w:sz w:val="20"/>
          <w:szCs w:val="20"/>
        </w:rPr>
        <w:t xml:space="preserve"> practice driven approaches.</w:t>
      </w:r>
    </w:p>
    <w:p w14:paraId="75665355" w14:textId="77777777" w:rsidR="001250A9" w:rsidRPr="001634B9" w:rsidRDefault="001250A9" w:rsidP="00EF5009">
      <w:pPr>
        <w:spacing w:after="0" w:line="240" w:lineRule="auto"/>
        <w:jc w:val="both"/>
        <w:rPr>
          <w:rFonts w:ascii="Times New Roman" w:hAnsi="Times New Roman" w:cs="Times New Roman"/>
          <w:sz w:val="20"/>
          <w:szCs w:val="20"/>
        </w:rPr>
      </w:pPr>
    </w:p>
    <w:p w14:paraId="2F7C01B2" w14:textId="7C977B16" w:rsidR="00686E6E" w:rsidRPr="001634B9" w:rsidRDefault="00686E6E" w:rsidP="00EF5009">
      <w:pPr>
        <w:spacing w:after="0" w:line="240" w:lineRule="auto"/>
        <w:jc w:val="both"/>
        <w:rPr>
          <w:rFonts w:ascii="Times New Roman" w:hAnsi="Times New Roman" w:cs="Times New Roman"/>
          <w:sz w:val="20"/>
          <w:szCs w:val="20"/>
        </w:rPr>
      </w:pPr>
      <w:r w:rsidRPr="001634B9">
        <w:rPr>
          <w:rFonts w:ascii="Times New Roman" w:hAnsi="Times New Roman" w:cs="Times New Roman"/>
          <w:b/>
          <w:bCs/>
          <w:sz w:val="20"/>
          <w:szCs w:val="20"/>
        </w:rPr>
        <w:t>Reliability and Validity</w:t>
      </w:r>
      <w:r w:rsidR="00D951DB" w:rsidRPr="001634B9">
        <w:rPr>
          <w:rFonts w:ascii="Times New Roman" w:hAnsi="Times New Roman" w:cs="Times New Roman"/>
          <w:b/>
          <w:bCs/>
          <w:sz w:val="20"/>
          <w:szCs w:val="20"/>
        </w:rPr>
        <w:t>:</w:t>
      </w:r>
      <w:r w:rsidRPr="001634B9">
        <w:rPr>
          <w:rFonts w:ascii="Times New Roman" w:hAnsi="Times New Roman" w:cs="Times New Roman"/>
          <w:sz w:val="20"/>
          <w:szCs w:val="20"/>
        </w:rPr>
        <w:t xml:space="preserve"> </w:t>
      </w:r>
      <w:r w:rsidR="00B80B9C" w:rsidRPr="001634B9">
        <w:rPr>
          <w:rFonts w:ascii="Times New Roman" w:hAnsi="Times New Roman" w:cs="Times New Roman"/>
          <w:sz w:val="20"/>
          <w:szCs w:val="20"/>
        </w:rPr>
        <w:t>Cronbach’s Alpha results were higher than 0.7 for all variables, indicating significant internal consistency of the survey instrument.</w:t>
      </w:r>
    </w:p>
    <w:p w14:paraId="6C5A9CAF" w14:textId="77777777" w:rsidR="001250A9" w:rsidRPr="001634B9" w:rsidRDefault="001250A9" w:rsidP="00EF5009">
      <w:pPr>
        <w:spacing w:after="0" w:line="240" w:lineRule="auto"/>
        <w:jc w:val="both"/>
        <w:rPr>
          <w:rFonts w:ascii="Times New Roman" w:hAnsi="Times New Roman" w:cs="Times New Roman"/>
          <w:sz w:val="20"/>
          <w:szCs w:val="20"/>
        </w:rPr>
      </w:pPr>
    </w:p>
    <w:p w14:paraId="4359E6CD" w14:textId="60500618" w:rsidR="00686E6E" w:rsidRPr="001634B9" w:rsidRDefault="00686E6E" w:rsidP="00EF5009">
      <w:pPr>
        <w:spacing w:after="0" w:line="240" w:lineRule="auto"/>
        <w:jc w:val="both"/>
        <w:rPr>
          <w:rFonts w:ascii="Times New Roman" w:hAnsi="Times New Roman" w:cs="Times New Roman"/>
          <w:sz w:val="20"/>
          <w:szCs w:val="20"/>
        </w:rPr>
      </w:pPr>
      <w:r w:rsidRPr="001634B9">
        <w:rPr>
          <w:rFonts w:ascii="Times New Roman" w:hAnsi="Times New Roman" w:cs="Times New Roman"/>
          <w:b/>
          <w:bCs/>
          <w:sz w:val="20"/>
          <w:szCs w:val="20"/>
        </w:rPr>
        <w:t>Correlation Analysis</w:t>
      </w:r>
      <w:r w:rsidR="00D951DB" w:rsidRPr="001634B9">
        <w:rPr>
          <w:rFonts w:ascii="Times New Roman" w:hAnsi="Times New Roman" w:cs="Times New Roman"/>
          <w:b/>
          <w:bCs/>
          <w:sz w:val="20"/>
          <w:szCs w:val="20"/>
        </w:rPr>
        <w:t>:</w:t>
      </w:r>
      <w:r w:rsidRPr="001634B9">
        <w:rPr>
          <w:rFonts w:ascii="Times New Roman" w:hAnsi="Times New Roman" w:cs="Times New Roman"/>
          <w:sz w:val="20"/>
          <w:szCs w:val="20"/>
        </w:rPr>
        <w:t xml:space="preserve"> </w:t>
      </w:r>
      <w:r w:rsidR="00B80B9C" w:rsidRPr="001634B9">
        <w:rPr>
          <w:rFonts w:ascii="Times New Roman" w:hAnsi="Times New Roman" w:cs="Times New Roman"/>
          <w:sz w:val="20"/>
          <w:szCs w:val="20"/>
        </w:rPr>
        <w:t>Pearson’s correlation showed strong positive relationships between sustainability variables and climate resilience, with community participation (r = 0.58) and renewable energy (r = 0.55) having the strongest correlations.</w:t>
      </w:r>
    </w:p>
    <w:p w14:paraId="3D136305" w14:textId="77777777" w:rsidR="001250A9" w:rsidRPr="001634B9" w:rsidRDefault="001250A9" w:rsidP="00EF5009">
      <w:pPr>
        <w:spacing w:after="0" w:line="240" w:lineRule="auto"/>
        <w:jc w:val="both"/>
        <w:rPr>
          <w:rFonts w:ascii="Times New Roman" w:hAnsi="Times New Roman" w:cs="Times New Roman"/>
          <w:sz w:val="20"/>
          <w:szCs w:val="20"/>
        </w:rPr>
      </w:pPr>
    </w:p>
    <w:p w14:paraId="6F33E17D" w14:textId="671D0B86" w:rsidR="00B80B9C" w:rsidRPr="001634B9" w:rsidRDefault="00686E6E" w:rsidP="00EF5009">
      <w:pPr>
        <w:spacing w:after="0" w:line="240" w:lineRule="auto"/>
        <w:jc w:val="both"/>
        <w:rPr>
          <w:rFonts w:ascii="Times New Roman" w:hAnsi="Times New Roman" w:cs="Times New Roman"/>
          <w:sz w:val="20"/>
          <w:szCs w:val="20"/>
        </w:rPr>
      </w:pPr>
      <w:r w:rsidRPr="001634B9">
        <w:rPr>
          <w:rFonts w:ascii="Times New Roman" w:hAnsi="Times New Roman" w:cs="Times New Roman"/>
          <w:b/>
          <w:bCs/>
          <w:sz w:val="20"/>
          <w:szCs w:val="20"/>
        </w:rPr>
        <w:t>Regression Analysis</w:t>
      </w:r>
      <w:r w:rsidR="00D951DB" w:rsidRPr="001634B9">
        <w:rPr>
          <w:rFonts w:ascii="Times New Roman" w:hAnsi="Times New Roman" w:cs="Times New Roman"/>
          <w:b/>
          <w:bCs/>
          <w:sz w:val="20"/>
          <w:szCs w:val="20"/>
        </w:rPr>
        <w:t>:</w:t>
      </w:r>
      <w:r w:rsidRPr="001634B9">
        <w:rPr>
          <w:rFonts w:ascii="Times New Roman" w:hAnsi="Times New Roman" w:cs="Times New Roman"/>
          <w:sz w:val="20"/>
          <w:szCs w:val="20"/>
        </w:rPr>
        <w:t xml:space="preserve"> </w:t>
      </w:r>
      <w:r w:rsidR="00B80B9C" w:rsidRPr="001634B9">
        <w:rPr>
          <w:rFonts w:ascii="Times New Roman" w:hAnsi="Times New Roman" w:cs="Times New Roman"/>
          <w:sz w:val="20"/>
          <w:szCs w:val="20"/>
        </w:rPr>
        <w:t>The model accounted for approximately 62% of the climate resilience variance, which suggests a considerable relationship with the selected independent variables, including sustainability practices, community participation, and adaptive infrastructure, indicating these factors significantly contribute toward the dependence of mining firms’ climate-related resilience.</w:t>
      </w:r>
    </w:p>
    <w:p w14:paraId="14A0B444" w14:textId="6CE3D30F" w:rsidR="001250A9" w:rsidRPr="001634B9" w:rsidRDefault="00B80B9C" w:rsidP="001250A9">
      <w:pPr>
        <w:pStyle w:val="Heading1"/>
        <w:spacing w:before="0" w:line="240" w:lineRule="auto"/>
        <w:jc w:val="both"/>
        <w:rPr>
          <w:rFonts w:ascii="Times New Roman" w:eastAsiaTheme="minorEastAsia" w:hAnsi="Times New Roman" w:cs="Times New Roman"/>
          <w:b w:val="0"/>
          <w:bCs w:val="0"/>
          <w:color w:val="auto"/>
          <w:sz w:val="20"/>
          <w:szCs w:val="20"/>
        </w:rPr>
      </w:pPr>
      <w:r w:rsidRPr="001634B9">
        <w:rPr>
          <w:rFonts w:ascii="Times New Roman" w:eastAsiaTheme="minorEastAsia" w:hAnsi="Times New Roman" w:cs="Times New Roman"/>
          <w:b w:val="0"/>
          <w:bCs w:val="0"/>
          <w:color w:val="auto"/>
          <w:sz w:val="20"/>
          <w:szCs w:val="20"/>
        </w:rPr>
        <w:t>This confirms the hypothesis that sustainable practices improve operational efficiency in mining activities.</w:t>
      </w:r>
    </w:p>
    <w:p w14:paraId="5138ABD9" w14:textId="77777777" w:rsidR="001250A9" w:rsidRPr="001634B9" w:rsidRDefault="001250A9" w:rsidP="001250A9">
      <w:pPr>
        <w:rPr>
          <w:rFonts w:ascii="Times New Roman" w:hAnsi="Times New Roman" w:cs="Times New Roman"/>
        </w:rPr>
      </w:pPr>
    </w:p>
    <w:p w14:paraId="011C3E1F" w14:textId="25516933" w:rsidR="0043021C" w:rsidRPr="001634B9" w:rsidRDefault="00EF6094" w:rsidP="00EF5009">
      <w:pPr>
        <w:pStyle w:val="Heading1"/>
        <w:numPr>
          <w:ilvl w:val="0"/>
          <w:numId w:val="12"/>
        </w:numPr>
        <w:spacing w:before="0" w:line="240" w:lineRule="auto"/>
        <w:jc w:val="center"/>
        <w:rPr>
          <w:rFonts w:ascii="Times New Roman" w:eastAsiaTheme="minorEastAsia" w:hAnsi="Times New Roman" w:cs="Times New Roman"/>
          <w:color w:val="auto"/>
          <w:sz w:val="22"/>
          <w:szCs w:val="22"/>
        </w:rPr>
      </w:pPr>
      <w:r w:rsidRPr="001634B9">
        <w:rPr>
          <w:rFonts w:ascii="Times New Roman" w:eastAsiaTheme="minorEastAsia" w:hAnsi="Times New Roman" w:cs="Times New Roman"/>
          <w:color w:val="auto"/>
          <w:sz w:val="22"/>
          <w:szCs w:val="22"/>
        </w:rPr>
        <w:t>Results and Discussion</w:t>
      </w:r>
    </w:p>
    <w:p w14:paraId="14F13903"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The model accounted for approximately 62% of the climate resilience variance (R squared = 0.62, p &lt; 0.01), demonstrating a substantial impact of sustainability practices on resilience. Community participation emerged as the strongest predictor, with the highest standardized beta coefficient (β = 0.41), followed by renewable energy consumption (β = 0.36).</w:t>
      </w:r>
    </w:p>
    <w:p w14:paraId="0524F472"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Firms with more advanced sustainability investments appear to cope better with climate shocks, including extreme heat and water shortages. It is also clear that more advanced firms strategically integrate sustainability into their corporate goals, adapt technologies like sensor-based monitoring, and do climate anticipatory planning. They seem to be facing some policy and financing issues, though. The results from SPSS corroborate all three hypotheses, confirming the strategic importance of sustainability in resilience planning.</w:t>
      </w:r>
    </w:p>
    <w:p w14:paraId="75C27069"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Firms that engaged proactively with sustainability integration in their operations showed that they had a greater adaptive capacity to climate stressors. Coming together as a community proved to be an important driver and illustrates social capital’s function in building resilience. The adoption of renewable energy, especially solar, not only reduced emission levels but also protected the firms from price volatility in energy markets. This greatly improved the firm's operational stability and the firm's long-term resilience to other climate-induced shocks.</w:t>
      </w:r>
    </w:p>
    <w:p w14:paraId="3F5F526C"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The analysis further reveals that firms with dedicated sustainability departments performed better on all metrics assessed. This suggests that voluntary organizational design and strategic emphasis substantially influence climate adaptation outcomes.</w:t>
      </w:r>
    </w:p>
    <w:p w14:paraId="46E9D0D3"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Sustainable technologies and green financing are still difficult to access. Integrating biodiversity management with land rehabilitation also limits the social acceptance and ecological resilience of mining operations. Furthermore, integrating these components into the current gaps in sustainability frameworks enhances the multidisciplinary attention necessary for mining operations.</w:t>
      </w:r>
    </w:p>
    <w:p w14:paraId="12FD1575"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Strikingly, other studies from Latin America, as well as Sub-Saharan Africa, highlight the relevance of sustainability in resource-driven industries, marking these regions as additional focal points for employing such strategies. Like, in Chile, droughts led to the increased water recycling initiatives put forward by mining firms, whereas South African companies focus on local hiring and training for climate adaptation purposes.</w:t>
      </w:r>
    </w:p>
    <w:p w14:paraId="122CE513" w14:textId="77777777" w:rsidR="004579FC" w:rsidRPr="001634B9" w:rsidRDefault="004579FC" w:rsidP="001250A9">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 xml:space="preserve">Especially in the case of mining, the balance between long-term sustainability and short-term profitability tends to lean more towards the later. While, in the long run, the system is bound to suffer from heightened expenses associated with climate change, regulatory risk, and damage to public image, in the </w:t>
      </w:r>
      <w:r w:rsidRPr="001634B9">
        <w:rPr>
          <w:rFonts w:ascii="Times New Roman" w:hAnsi="Times New Roman" w:cs="Times New Roman"/>
          <w:sz w:val="20"/>
          <w:szCs w:val="20"/>
        </w:rPr>
        <w:lastRenderedPageBreak/>
        <w:t>short run, firms see focus on extreme financial payoffs. Investing in climate control measures is often seen as financially strained, but the integrating them into business strategy aligned with value creation enhances operational stability.</w:t>
      </w:r>
    </w:p>
    <w:p w14:paraId="048B8356" w14:textId="77777777" w:rsidR="001250A9" w:rsidRPr="001634B9" w:rsidRDefault="001250A9" w:rsidP="001250A9">
      <w:pPr>
        <w:spacing w:after="0" w:line="240" w:lineRule="auto"/>
        <w:ind w:firstLine="720"/>
        <w:jc w:val="both"/>
        <w:rPr>
          <w:rFonts w:ascii="Times New Roman" w:hAnsi="Times New Roman" w:cs="Times New Roman"/>
          <w:sz w:val="20"/>
          <w:szCs w:val="20"/>
        </w:rPr>
      </w:pPr>
    </w:p>
    <w:p w14:paraId="4B7E3B8A" w14:textId="5B6643DB" w:rsidR="0043021C" w:rsidRPr="001634B9" w:rsidRDefault="00EF6094" w:rsidP="00EF5009">
      <w:pPr>
        <w:pStyle w:val="Heading1"/>
        <w:spacing w:before="0" w:line="240" w:lineRule="auto"/>
        <w:jc w:val="both"/>
        <w:rPr>
          <w:rFonts w:ascii="Times New Roman" w:eastAsiaTheme="minorEastAsia" w:hAnsi="Times New Roman" w:cs="Times New Roman"/>
          <w:color w:val="auto"/>
          <w:sz w:val="20"/>
          <w:szCs w:val="20"/>
        </w:rPr>
      </w:pPr>
      <w:r w:rsidRPr="001634B9">
        <w:rPr>
          <w:rFonts w:ascii="Times New Roman" w:eastAsiaTheme="minorEastAsia" w:hAnsi="Times New Roman" w:cs="Times New Roman"/>
          <w:color w:val="auto"/>
          <w:sz w:val="20"/>
          <w:szCs w:val="20"/>
        </w:rPr>
        <w:t>Implications – Theoretical and Practical</w:t>
      </w:r>
      <w:r w:rsidR="00D951DB" w:rsidRPr="001634B9">
        <w:rPr>
          <w:rFonts w:ascii="Times New Roman" w:eastAsiaTheme="minorEastAsia" w:hAnsi="Times New Roman" w:cs="Times New Roman"/>
          <w:color w:val="auto"/>
          <w:sz w:val="20"/>
          <w:szCs w:val="20"/>
        </w:rPr>
        <w:t>:</w:t>
      </w:r>
    </w:p>
    <w:p w14:paraId="380EF390" w14:textId="3770975A" w:rsidR="004E0C35" w:rsidRPr="001634B9" w:rsidRDefault="00686E6E" w:rsidP="00F74AF1">
      <w:pPr>
        <w:spacing w:after="0" w:line="240" w:lineRule="auto"/>
        <w:ind w:firstLine="720"/>
        <w:jc w:val="both"/>
        <w:rPr>
          <w:rFonts w:ascii="Times New Roman" w:hAnsi="Times New Roman" w:cs="Times New Roman"/>
          <w:b/>
          <w:bCs/>
          <w:sz w:val="20"/>
          <w:szCs w:val="20"/>
        </w:rPr>
      </w:pPr>
      <w:r w:rsidRPr="001634B9">
        <w:rPr>
          <w:rFonts w:ascii="Times New Roman" w:hAnsi="Times New Roman" w:cs="Times New Roman"/>
          <w:b/>
          <w:bCs/>
          <w:sz w:val="20"/>
          <w:szCs w:val="20"/>
        </w:rPr>
        <w:t>Theoretical Implications:</w:t>
      </w:r>
      <w:r w:rsidR="001250A9" w:rsidRPr="001634B9">
        <w:rPr>
          <w:rFonts w:ascii="Times New Roman" w:hAnsi="Times New Roman" w:cs="Times New Roman"/>
          <w:b/>
          <w:bCs/>
          <w:sz w:val="20"/>
          <w:szCs w:val="20"/>
        </w:rPr>
        <w:t xml:space="preserve"> </w:t>
      </w:r>
      <w:r w:rsidR="004E0C35" w:rsidRPr="001634B9">
        <w:rPr>
          <w:rFonts w:ascii="Times New Roman" w:hAnsi="Times New Roman" w:cs="Times New Roman"/>
          <w:sz w:val="20"/>
          <w:szCs w:val="20"/>
        </w:rPr>
        <w:t xml:space="preserve">As it stands, this study expands the literature on strategic sustainability and resilience concerning dryland and climate-vulnerable areas. While there is abundant research on the operations of global mining companies and their approach towards sustainability, there is comparatively lesser empirical work done in emerging markets like South-West Rajasthan, which is located in ecologically fragile landscapes. This study, by </w:t>
      </w:r>
      <w:proofErr w:type="spellStart"/>
      <w:r w:rsidR="004E0C35" w:rsidRPr="001634B9">
        <w:rPr>
          <w:rFonts w:ascii="Times New Roman" w:hAnsi="Times New Roman" w:cs="Times New Roman"/>
          <w:sz w:val="20"/>
          <w:szCs w:val="20"/>
        </w:rPr>
        <w:t>analyzing</w:t>
      </w:r>
      <w:proofErr w:type="spellEnd"/>
      <w:r w:rsidR="004E0C35" w:rsidRPr="001634B9">
        <w:rPr>
          <w:rFonts w:ascii="Times New Roman" w:hAnsi="Times New Roman" w:cs="Times New Roman"/>
          <w:sz w:val="20"/>
          <w:szCs w:val="20"/>
        </w:rPr>
        <w:t xml:space="preserve"> how mining companies in these regions sustain their business, attempts to contribute towards understanding organizational resilience amidst severe environmental challenges.</w:t>
      </w:r>
    </w:p>
    <w:p w14:paraId="30A2AFAF"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In addition, it attempts to reconceptualize the debate by categorizing climate risks under sustainability, not solely as an environmental concern, but also as a powerful dynamic capability a firm can harness to manage its adaptive response to climate-imbedded threats. This fits and builds upon the resource-based view (RBV) alongside dynamic capabilities theory by proposing that sustainability-oriented capabilities create competitive advantage for a firm under climatic unpredictability and ecological compulsions.</w:t>
      </w:r>
    </w:p>
    <w:p w14:paraId="2B7230CA" w14:textId="77777777" w:rsidR="00F74AF1" w:rsidRPr="001634B9" w:rsidRDefault="00F74AF1" w:rsidP="00F74AF1">
      <w:pPr>
        <w:spacing w:after="0" w:line="240" w:lineRule="auto"/>
        <w:ind w:firstLine="720"/>
        <w:jc w:val="both"/>
        <w:rPr>
          <w:rFonts w:ascii="Times New Roman" w:hAnsi="Times New Roman" w:cs="Times New Roman"/>
          <w:sz w:val="20"/>
          <w:szCs w:val="20"/>
        </w:rPr>
      </w:pPr>
    </w:p>
    <w:p w14:paraId="4805CB3F" w14:textId="35AF64CF" w:rsidR="004E0C35" w:rsidRPr="001634B9" w:rsidRDefault="00686E6E" w:rsidP="00F74AF1">
      <w:pPr>
        <w:spacing w:after="0" w:line="240" w:lineRule="auto"/>
        <w:ind w:firstLine="720"/>
        <w:jc w:val="both"/>
        <w:rPr>
          <w:rFonts w:ascii="Times New Roman" w:hAnsi="Times New Roman" w:cs="Times New Roman"/>
          <w:b/>
          <w:bCs/>
          <w:sz w:val="20"/>
          <w:szCs w:val="20"/>
        </w:rPr>
      </w:pPr>
      <w:r w:rsidRPr="001634B9">
        <w:rPr>
          <w:rFonts w:ascii="Times New Roman" w:hAnsi="Times New Roman" w:cs="Times New Roman"/>
          <w:b/>
          <w:bCs/>
          <w:sz w:val="20"/>
          <w:szCs w:val="20"/>
        </w:rPr>
        <w:t>Practical Implications:</w:t>
      </w:r>
      <w:r w:rsidR="00F74AF1" w:rsidRPr="001634B9">
        <w:rPr>
          <w:rFonts w:ascii="Times New Roman" w:hAnsi="Times New Roman" w:cs="Times New Roman"/>
          <w:b/>
          <w:bCs/>
          <w:sz w:val="20"/>
          <w:szCs w:val="20"/>
        </w:rPr>
        <w:t xml:space="preserve"> </w:t>
      </w:r>
      <w:r w:rsidR="004E0C35" w:rsidRPr="001634B9">
        <w:rPr>
          <w:rFonts w:ascii="Times New Roman" w:hAnsi="Times New Roman" w:cs="Times New Roman"/>
          <w:sz w:val="20"/>
          <w:szCs w:val="20"/>
        </w:rPr>
        <w:t>From a practical perspective, the results have implications for mining companies, policymakers, and development practitioners. The takeaway from this is the sustainability has to be integrated in the very foundation of corporate strategy and not as an add-on. This means incorporating climate risk evaluation in feasibility studies, building green technology, and creating water, energy, and land use specific interventions for site-specific mitigation.</w:t>
      </w:r>
    </w:p>
    <w:p w14:paraId="2153036F"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In governance, firms need to create integrated cross functional sustainability teams that are tasked with tracking, executing, and changing the environmental and social frameworks of the company. This means that there are no longer any climate issues that are dealt with in the CSR departments but rather actively take part in every stage of mining i.e. Exploration, Active Extraction, Closure and Post – Mining Land Rehabilitation.</w:t>
      </w:r>
    </w:p>
    <w:p w14:paraId="08B7811C"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The research, in this regard, also illustrates the role of public-private partnerships (PPPs) for promoting eco-friendly practices as an enduring structural change. It is through collaboration with governmental agencies, non-governmental organizations, and some research bodies that other mining companies are able to obtain the technical skills and funding together with the community networks that help in sustaining their initiatives. For example, collaborative works in various watersheds management or using renewable energy can create shared value for companies and the local communities.</w:t>
      </w:r>
    </w:p>
    <w:p w14:paraId="02E0C31A"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Equally important are community-driven models. Firms that interact with stakeholders in a constructive manner, such as involving them in environmental monitoring, facilitating skills training, or assisting in developing alternative livelihoods, tend to build social licenses to operate more easily, especially in relation to climate shock resilience.</w:t>
      </w:r>
    </w:p>
    <w:p w14:paraId="03A96B34"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From a strategic management standpoint, these conclusions suggest that companies should shift their perspective and rather treat compliance as an obligation, framing sustainability within corporate culture as a proactive approach to long-term risk mitigation and value creation. In reality, firms must embed climate concerns into every phase of the mining life cycle, adapting efforts to manage risks to and stakeholder demands to emerging changes.</w:t>
      </w:r>
    </w:p>
    <w:p w14:paraId="15826A8F"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This study advances the debate in a way that we should move from compliance-driven approaches to sustainability leadership on organizational and strategic levels with the goal of attaining environmental business resilience and continuity during climate change acceleration.</w:t>
      </w:r>
    </w:p>
    <w:p w14:paraId="0BD65585" w14:textId="77777777" w:rsidR="00EF5009" w:rsidRPr="001634B9" w:rsidRDefault="00EF5009" w:rsidP="00EF5009">
      <w:pPr>
        <w:spacing w:after="0" w:line="240" w:lineRule="auto"/>
        <w:jc w:val="both"/>
        <w:rPr>
          <w:rFonts w:ascii="Times New Roman" w:hAnsi="Times New Roman" w:cs="Times New Roman"/>
          <w:sz w:val="20"/>
          <w:szCs w:val="20"/>
        </w:rPr>
      </w:pPr>
    </w:p>
    <w:p w14:paraId="673903F2" w14:textId="473EB10D" w:rsidR="0043021C" w:rsidRPr="001634B9" w:rsidRDefault="00EF6094" w:rsidP="00EF5009">
      <w:pPr>
        <w:pStyle w:val="Heading1"/>
        <w:numPr>
          <w:ilvl w:val="0"/>
          <w:numId w:val="12"/>
        </w:numPr>
        <w:spacing w:before="0" w:line="240" w:lineRule="auto"/>
        <w:jc w:val="center"/>
        <w:rPr>
          <w:rFonts w:ascii="Times New Roman" w:eastAsiaTheme="minorEastAsia" w:hAnsi="Times New Roman" w:cs="Times New Roman"/>
          <w:color w:val="auto"/>
          <w:sz w:val="22"/>
          <w:szCs w:val="22"/>
        </w:rPr>
      </w:pPr>
      <w:r w:rsidRPr="001634B9">
        <w:rPr>
          <w:rFonts w:ascii="Times New Roman" w:eastAsiaTheme="minorEastAsia" w:hAnsi="Times New Roman" w:cs="Times New Roman"/>
          <w:color w:val="auto"/>
          <w:sz w:val="22"/>
          <w:szCs w:val="22"/>
        </w:rPr>
        <w:t>Conclusion</w:t>
      </w:r>
    </w:p>
    <w:p w14:paraId="5F5CD10F"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The investigation highlights the importance of effective sustainable management practices utilized by mining firms in South-West Rajasthan relative to enhancing their resilience towards climate change. In a climate that has an extremely high temperature and water shortage along with irregular rainfall, resilience is no longer an appealing trait, it is a necessity. Firms that have adopted a more holistic perspective on sustainability, such as water stewardship, energy prudence, land restoration, and active community participation, have a greater ability to sustain and recover from the impacts of climate change.</w:t>
      </w:r>
    </w:p>
    <w:p w14:paraId="06CD0744"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lastRenderedPageBreak/>
        <w:t xml:space="preserve">This study is particularly important because it shows that there are no longer peripheral concerns for mining firms related to sustainability, rather, it should be integrated within the firm’s </w:t>
      </w:r>
      <w:proofErr w:type="gramStart"/>
      <w:r w:rsidRPr="001634B9">
        <w:rPr>
          <w:rFonts w:ascii="Times New Roman" w:hAnsi="Times New Roman" w:cs="Times New Roman"/>
          <w:sz w:val="20"/>
          <w:szCs w:val="20"/>
        </w:rPr>
        <w:t>long term</w:t>
      </w:r>
      <w:proofErr w:type="gramEnd"/>
      <w:r w:rsidRPr="001634B9">
        <w:rPr>
          <w:rFonts w:ascii="Times New Roman" w:hAnsi="Times New Roman" w:cs="Times New Roman"/>
          <w:sz w:val="20"/>
          <w:szCs w:val="20"/>
        </w:rPr>
        <w:t xml:space="preserve"> strategy. There is a general shift from reactivity to proactive environmental management, which is being motivated by regulations and other stakeholders. The existence of social pressures together with the increasing endorsement of environmental, social, and governance (ESG) standards as benchmarks amends sustainability policies immensely. Firms that take the lead on sustainable practices stand to receive increased investment, support from the community, and leniency from regulators.</w:t>
      </w:r>
    </w:p>
    <w:p w14:paraId="029C74E1"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In order to incorporate resilience at scale and inclusively, the approach that needs to be taken must include three interwoven components: innovation, stakeholder collaboration, and improved policy frameworks. New technological developments, especially in the fields of water recycling, renewable energy implementation, and ecological oversight, hold promise for lowering ecological and operational risks. For instance, remote sensing and GIS technologies can be used for the early monitoring of potential environmental damage while advanced water treatment facilities can mitigate the impact of acute shortages in the area.</w:t>
      </w:r>
    </w:p>
    <w:p w14:paraId="473C7F8E"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 xml:space="preserve">Working with stakeholders is also crucial. Building resilience is a shared goal that relies on mining companies, local populations, civil society, and government acting in concert. Best practice models of development and infrastructure expenditure are gained through Public Private Partnerships. Elevated trust through increased community participation helps improve environmental governance needed to </w:t>
      </w:r>
      <w:proofErr w:type="spellStart"/>
      <w:r w:rsidRPr="001634B9">
        <w:rPr>
          <w:rFonts w:ascii="Times New Roman" w:hAnsi="Times New Roman" w:cs="Times New Roman"/>
          <w:sz w:val="20"/>
          <w:szCs w:val="20"/>
        </w:rPr>
        <w:t>fulfill</w:t>
      </w:r>
      <w:proofErr w:type="spellEnd"/>
      <w:r w:rsidRPr="001634B9">
        <w:rPr>
          <w:rFonts w:ascii="Times New Roman" w:hAnsi="Times New Roman" w:cs="Times New Roman"/>
          <w:sz w:val="20"/>
          <w:szCs w:val="20"/>
        </w:rPr>
        <w:t xml:space="preserve"> the development promise.</w:t>
      </w:r>
    </w:p>
    <w:p w14:paraId="76F63DAE"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Neglected at the policy level is the need for frameworks that incentivize sustainable approaches to mining. Defined mandates for sustainability, green financing access, and smaller and medium sized entities training and support illustrates this gap. Policy has to be focused on fostering active and passive transparency in sustainability reporting tracking, measuring, and addressing environmental and social impacts throughout the mining value chain.</w:t>
      </w:r>
    </w:p>
    <w:p w14:paraId="5FA93DE9"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 xml:space="preserve">Further investigation should look into the effect of digital tools such as Artificial Intelligence (AI), Internet of Things (IoT), and blockchain technology on the improvement of sustainability reporting and climate resilience. Climate risk </w:t>
      </w:r>
      <w:proofErr w:type="spellStart"/>
      <w:r w:rsidRPr="001634B9">
        <w:rPr>
          <w:rFonts w:ascii="Times New Roman" w:hAnsi="Times New Roman" w:cs="Times New Roman"/>
          <w:sz w:val="20"/>
          <w:szCs w:val="20"/>
        </w:rPr>
        <w:t>modeling</w:t>
      </w:r>
      <w:proofErr w:type="spellEnd"/>
      <w:r w:rsidRPr="001634B9">
        <w:rPr>
          <w:rFonts w:ascii="Times New Roman" w:hAnsi="Times New Roman" w:cs="Times New Roman"/>
          <w:sz w:val="20"/>
          <w:szCs w:val="20"/>
        </w:rPr>
        <w:t xml:space="preserve"> and predictive maintenance using AI enables firms to prepare for and mitigate damage well before threats escalate. Blockchain technology can enhance traceability for sourcing minerals, ensuring that all environmental, legal, and moral obligations are met due to its transparent and tamper-proof nature. Sustainability systems can greatly benefit from real-time intelligence and accountability placements driven by these technologies.</w:t>
      </w:r>
    </w:p>
    <w:p w14:paraId="7AB8FDAA" w14:textId="77777777" w:rsidR="004E0C35" w:rsidRPr="001634B9" w:rsidRDefault="004E0C35" w:rsidP="00F74AF1">
      <w:pPr>
        <w:spacing w:after="0" w:line="240" w:lineRule="auto"/>
        <w:ind w:firstLine="720"/>
        <w:jc w:val="both"/>
        <w:rPr>
          <w:rFonts w:ascii="Times New Roman" w:hAnsi="Times New Roman" w:cs="Times New Roman"/>
          <w:sz w:val="20"/>
          <w:szCs w:val="20"/>
        </w:rPr>
      </w:pPr>
      <w:r w:rsidRPr="001634B9">
        <w:rPr>
          <w:rFonts w:ascii="Times New Roman" w:hAnsi="Times New Roman" w:cs="Times New Roman"/>
          <w:sz w:val="20"/>
          <w:szCs w:val="20"/>
        </w:rPr>
        <w:t>By adopting sustainability and integrating it with institutional innovation and collaboration, mining companies operating in or near climate-sensitive zones like South-West Rajasthan, along with counterparts worldwide, can proactively strengthen their operations in response to climate change while working towards responsible and future-ready business strategies.</w:t>
      </w:r>
    </w:p>
    <w:p w14:paraId="05235DE1" w14:textId="77777777" w:rsidR="001634B9" w:rsidRDefault="001634B9" w:rsidP="00F74AF1">
      <w:pPr>
        <w:pStyle w:val="Heading1"/>
        <w:spacing w:before="0" w:line="240" w:lineRule="auto"/>
        <w:jc w:val="center"/>
      </w:pPr>
    </w:p>
    <w:p w14:paraId="5E69D2B8" w14:textId="31F0A332" w:rsidR="000701FA" w:rsidRPr="00F74AF1" w:rsidRDefault="00EF6094" w:rsidP="00F74AF1">
      <w:pPr>
        <w:pStyle w:val="Heading1"/>
        <w:spacing w:before="0" w:line="240" w:lineRule="auto"/>
        <w:jc w:val="center"/>
        <w:rPr>
          <w:rFonts w:ascii="Times New Roman" w:hAnsi="Times New Roman" w:cs="Times New Roman"/>
        </w:rPr>
      </w:pPr>
      <w:r w:rsidRPr="00220448">
        <w:rPr>
          <w:rFonts w:ascii="Times New Roman" w:hAnsi="Times New Roman" w:cs="Times New Roman"/>
          <w:color w:val="auto"/>
          <w:sz w:val="22"/>
          <w:szCs w:val="22"/>
        </w:rPr>
        <w:t>References</w:t>
      </w:r>
    </w:p>
    <w:p w14:paraId="4BF8DA36" w14:textId="66E0F026"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Bebbington, A., Humphreys Bebbington, D., Bury, J., Lingan, J., Muñoz, J. P., &amp; Scurrah, M. (2008). Mining and social movements: Struggles over livelihood and rural territorial development in the Andes. World Development, 36(12), 2888–2905. https://doi.org/10.1016/j.worlddev.2007.11.016</w:t>
      </w:r>
    </w:p>
    <w:p w14:paraId="24D82B8D" w14:textId="77777777"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Hilson, G. (2002). An overview of land use conflicts in mining communities. Land Use Policy, 19(1), 65–73. https://doi.org/10.1016/S0264-8377(01)00043-6</w:t>
      </w:r>
    </w:p>
    <w:p w14:paraId="140B8336" w14:textId="77777777"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Porter, M. E., &amp; Reinhardt, F. L. (2007). Grist: A strategic approach to climate. Harvard Business Review, 85(10), 22–26.</w:t>
      </w:r>
    </w:p>
    <w:p w14:paraId="18B570EE" w14:textId="77777777"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World Bank. (2010). Managing climate risk: Integrating adaptation into World Bank Group operations. https://openknowledge.worldbank.org/handle/10986/28161</w:t>
      </w:r>
    </w:p>
    <w:p w14:paraId="03BA2ACA" w14:textId="77777777"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Delmas, M. A., &amp; Toffel, M. W. (2008). Organizational responses to environmental demands: Opening the black box. Strategic Management Journal, 29(10), 1027–1055. https://doi.org/10.1002/smj.701</w:t>
      </w:r>
    </w:p>
    <w:p w14:paraId="18083012" w14:textId="3657EFD8" w:rsidR="0043021C" w:rsidRPr="00220448" w:rsidRDefault="00EF6094"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 xml:space="preserve">Hart, S. L. (1995). A natural-resource-based view of the firm. Academy of Management Review, 20(4), 986–1014. </w:t>
      </w:r>
      <w:hyperlink r:id="rId10" w:history="1">
        <w:r w:rsidR="00806F1A" w:rsidRPr="00220448">
          <w:rPr>
            <w:rStyle w:val="Hyperlink"/>
            <w:rFonts w:cs="Times New Roman"/>
            <w:sz w:val="16"/>
            <w:szCs w:val="16"/>
          </w:rPr>
          <w:t>https://doi.org/10.5465/amr.1995.9512280033</w:t>
        </w:r>
      </w:hyperlink>
    </w:p>
    <w:p w14:paraId="27B81046" w14:textId="364EB135" w:rsidR="00806F1A" w:rsidRPr="00220448" w:rsidRDefault="00806F1A"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Hodgkinson, J. H., &amp; Smith, M. H. (2021). Climate change and sustainability as drivers for the next mining and metals boom: The need for climate-smart mining and recycling. </w:t>
      </w:r>
      <w:r w:rsidRPr="00220448">
        <w:rPr>
          <w:rFonts w:cs="Times New Roman"/>
          <w:i/>
          <w:iCs/>
          <w:sz w:val="16"/>
          <w:szCs w:val="16"/>
        </w:rPr>
        <w:t>Resources Policy</w:t>
      </w:r>
      <w:r w:rsidRPr="00220448">
        <w:rPr>
          <w:rFonts w:cs="Times New Roman"/>
          <w:sz w:val="16"/>
          <w:szCs w:val="16"/>
        </w:rPr>
        <w:t>, </w:t>
      </w:r>
      <w:r w:rsidRPr="00220448">
        <w:rPr>
          <w:rFonts w:cs="Times New Roman"/>
          <w:i/>
          <w:iCs/>
          <w:sz w:val="16"/>
          <w:szCs w:val="16"/>
        </w:rPr>
        <w:t>74</w:t>
      </w:r>
      <w:r w:rsidRPr="00220448">
        <w:rPr>
          <w:rFonts w:cs="Times New Roman"/>
          <w:sz w:val="16"/>
          <w:szCs w:val="16"/>
        </w:rPr>
        <w:t>, 101205.</w:t>
      </w:r>
    </w:p>
    <w:p w14:paraId="763322C0" w14:textId="5198786E" w:rsidR="005A002D" w:rsidRPr="00220448" w:rsidRDefault="005A002D"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Ojo, B. (2024). Strategies for the optimization of critical infrastructure projects to enhance urban resilience to climate change. </w:t>
      </w:r>
      <w:r w:rsidRPr="00220448">
        <w:rPr>
          <w:rFonts w:cs="Times New Roman"/>
          <w:i/>
          <w:iCs/>
          <w:sz w:val="16"/>
          <w:szCs w:val="16"/>
        </w:rPr>
        <w:t>The Journal of Scientific and Engineering Research</w:t>
      </w:r>
      <w:r w:rsidRPr="00220448">
        <w:rPr>
          <w:rFonts w:cs="Times New Roman"/>
          <w:sz w:val="16"/>
          <w:szCs w:val="16"/>
        </w:rPr>
        <w:t>, </w:t>
      </w:r>
      <w:r w:rsidRPr="00220448">
        <w:rPr>
          <w:rFonts w:cs="Times New Roman"/>
          <w:i/>
          <w:iCs/>
          <w:sz w:val="16"/>
          <w:szCs w:val="16"/>
        </w:rPr>
        <w:t>11</w:t>
      </w:r>
      <w:r w:rsidRPr="00220448">
        <w:rPr>
          <w:rFonts w:cs="Times New Roman"/>
          <w:sz w:val="16"/>
          <w:szCs w:val="16"/>
        </w:rPr>
        <w:t>, 107-123.</w:t>
      </w:r>
    </w:p>
    <w:p w14:paraId="420AEFB9" w14:textId="75B2C7D8" w:rsidR="00A64316" w:rsidRPr="00220448" w:rsidRDefault="00A64316" w:rsidP="00EF5009">
      <w:pPr>
        <w:pStyle w:val="BodyText0"/>
        <w:numPr>
          <w:ilvl w:val="0"/>
          <w:numId w:val="13"/>
        </w:numPr>
        <w:spacing w:after="0" w:line="240" w:lineRule="auto"/>
        <w:jc w:val="both"/>
        <w:rPr>
          <w:rFonts w:cs="Times New Roman"/>
          <w:sz w:val="16"/>
          <w:szCs w:val="16"/>
        </w:rPr>
      </w:pPr>
      <w:proofErr w:type="spellStart"/>
      <w:r w:rsidRPr="00220448">
        <w:rPr>
          <w:rFonts w:cs="Times New Roman"/>
          <w:sz w:val="16"/>
          <w:szCs w:val="16"/>
        </w:rPr>
        <w:t>Asgharinajib</w:t>
      </w:r>
      <w:proofErr w:type="spellEnd"/>
      <w:r w:rsidRPr="00220448">
        <w:rPr>
          <w:rFonts w:cs="Times New Roman"/>
          <w:sz w:val="16"/>
          <w:szCs w:val="16"/>
        </w:rPr>
        <w:t xml:space="preserve">, M., Feiz, D., </w:t>
      </w:r>
      <w:proofErr w:type="spellStart"/>
      <w:r w:rsidRPr="00220448">
        <w:rPr>
          <w:rFonts w:cs="Times New Roman"/>
          <w:sz w:val="16"/>
          <w:szCs w:val="16"/>
        </w:rPr>
        <w:t>MinBashRazgah</w:t>
      </w:r>
      <w:proofErr w:type="spellEnd"/>
      <w:r w:rsidRPr="00220448">
        <w:rPr>
          <w:rFonts w:cs="Times New Roman"/>
          <w:sz w:val="16"/>
          <w:szCs w:val="16"/>
        </w:rPr>
        <w:t xml:space="preserve">, M. M., Zarei, A., &amp; </w:t>
      </w:r>
      <w:proofErr w:type="spellStart"/>
      <w:r w:rsidRPr="00220448">
        <w:rPr>
          <w:rFonts w:cs="Times New Roman"/>
          <w:sz w:val="16"/>
          <w:szCs w:val="16"/>
        </w:rPr>
        <w:t>Sorooshian</w:t>
      </w:r>
      <w:proofErr w:type="spellEnd"/>
      <w:r w:rsidRPr="00220448">
        <w:rPr>
          <w:rFonts w:cs="Times New Roman"/>
          <w:sz w:val="16"/>
          <w:szCs w:val="16"/>
        </w:rPr>
        <w:t>, S. (2025). Strategic marketing capacities for climate change resilience: A framework for business-to-business sectors. </w:t>
      </w:r>
      <w:r w:rsidRPr="00220448">
        <w:rPr>
          <w:rFonts w:cs="Times New Roman"/>
          <w:i/>
          <w:iCs/>
          <w:sz w:val="16"/>
          <w:szCs w:val="16"/>
        </w:rPr>
        <w:t>Climate Risk Management</w:t>
      </w:r>
      <w:r w:rsidRPr="00220448">
        <w:rPr>
          <w:rFonts w:cs="Times New Roman"/>
          <w:sz w:val="16"/>
          <w:szCs w:val="16"/>
        </w:rPr>
        <w:t>, 100700.</w:t>
      </w:r>
    </w:p>
    <w:p w14:paraId="5E403ABA" w14:textId="25A0625A" w:rsidR="00B96161" w:rsidRPr="00220448" w:rsidRDefault="00B96161"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 xml:space="preserve">Verrier, B., Smith, C., </w:t>
      </w:r>
      <w:proofErr w:type="spellStart"/>
      <w:r w:rsidRPr="00220448">
        <w:rPr>
          <w:rFonts w:cs="Times New Roman"/>
          <w:sz w:val="16"/>
          <w:szCs w:val="16"/>
        </w:rPr>
        <w:t>Yahyaei</w:t>
      </w:r>
      <w:proofErr w:type="spellEnd"/>
      <w:r w:rsidRPr="00220448">
        <w:rPr>
          <w:rFonts w:cs="Times New Roman"/>
          <w:sz w:val="16"/>
          <w:szCs w:val="16"/>
        </w:rPr>
        <w:t>, M., Ziemski, M., Forbes, G., Witt, K., &amp; Azadi, M. (2022). Beyond the social license to operate: Whole system approaches for a socially responsible mining industry. </w:t>
      </w:r>
      <w:r w:rsidRPr="00220448">
        <w:rPr>
          <w:rFonts w:cs="Times New Roman"/>
          <w:i/>
          <w:iCs/>
          <w:sz w:val="16"/>
          <w:szCs w:val="16"/>
        </w:rPr>
        <w:t>Energy Research &amp; Social Science</w:t>
      </w:r>
      <w:r w:rsidRPr="00220448">
        <w:rPr>
          <w:rFonts w:cs="Times New Roman"/>
          <w:sz w:val="16"/>
          <w:szCs w:val="16"/>
        </w:rPr>
        <w:t>, </w:t>
      </w:r>
      <w:r w:rsidRPr="00220448">
        <w:rPr>
          <w:rFonts w:cs="Times New Roman"/>
          <w:i/>
          <w:iCs/>
          <w:sz w:val="16"/>
          <w:szCs w:val="16"/>
        </w:rPr>
        <w:t>83</w:t>
      </w:r>
      <w:r w:rsidRPr="00220448">
        <w:rPr>
          <w:rFonts w:cs="Times New Roman"/>
          <w:sz w:val="16"/>
          <w:szCs w:val="16"/>
        </w:rPr>
        <w:t>, 102343.</w:t>
      </w:r>
    </w:p>
    <w:p w14:paraId="2A634789" w14:textId="2C2AEDC9" w:rsidR="000701FA" w:rsidRPr="00220448" w:rsidRDefault="000701FA" w:rsidP="00EF5009">
      <w:pPr>
        <w:pStyle w:val="BodyText0"/>
        <w:numPr>
          <w:ilvl w:val="0"/>
          <w:numId w:val="13"/>
        </w:numPr>
        <w:spacing w:after="0" w:line="240" w:lineRule="auto"/>
        <w:jc w:val="both"/>
        <w:rPr>
          <w:rFonts w:cs="Times New Roman"/>
          <w:sz w:val="16"/>
          <w:szCs w:val="16"/>
        </w:rPr>
      </w:pPr>
      <w:r w:rsidRPr="00220448">
        <w:rPr>
          <w:rFonts w:cs="Times New Roman"/>
          <w:sz w:val="16"/>
          <w:szCs w:val="16"/>
        </w:rPr>
        <w:t>Selvakumar, P., Seenivasan, S., Patel, S., Das, A., &amp; Ravikumar, S. (2025). Environmental Sustainability. In </w:t>
      </w:r>
      <w:r w:rsidRPr="00220448">
        <w:rPr>
          <w:rFonts w:cs="Times New Roman"/>
          <w:i/>
          <w:iCs/>
          <w:sz w:val="16"/>
          <w:szCs w:val="16"/>
        </w:rPr>
        <w:t>Renewable Energy and the Economic Welfare of Society</w:t>
      </w:r>
      <w:r w:rsidRPr="00220448">
        <w:rPr>
          <w:rFonts w:cs="Times New Roman"/>
          <w:sz w:val="16"/>
          <w:szCs w:val="16"/>
        </w:rPr>
        <w:t> (pp. 103-132). IGI Global Scientific Publishing.</w:t>
      </w:r>
    </w:p>
    <w:sectPr w:rsidR="000701FA" w:rsidRPr="002204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2E485" w14:textId="77777777" w:rsidR="00000000" w:rsidRDefault="00000000">
    <w:pPr>
      <w:pStyle w:val="Footer"/>
      <w:pBdr>
        <w:top w:val="single" w:sz="4" w:space="1" w:color="auto"/>
      </w:pBdr>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4</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BF4F4" w14:textId="77777777" w:rsidR="00000000" w:rsidRDefault="00000000">
    <w:pPr>
      <w:pStyle w:val="Footer"/>
      <w:pBdr>
        <w:top w:val="single" w:sz="4" w:space="1" w:color="auto"/>
      </w:pBdr>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7236" w14:textId="77777777" w:rsidR="00000000" w:rsidRDefault="00000000">
    <w:pPr>
      <w:pBdr>
        <w:bottom w:val="single" w:sz="4" w:space="1" w:color="auto"/>
      </w:pBdr>
      <w:tabs>
        <w:tab w:val="left" w:pos="90"/>
      </w:tabs>
      <w:spacing w:line="240" w:lineRule="auto"/>
      <w:jc w:val="center"/>
      <w:rPr>
        <w:rFonts w:ascii="Times New Roman"/>
        <w:i/>
        <w:szCs w:val="20"/>
      </w:rPr>
    </w:pPr>
    <w:r>
      <w:rPr>
        <w:rFonts w:ascii="Times New Roman"/>
        <w:i/>
        <w:szCs w:val="20"/>
      </w:rPr>
      <w:t xml:space="preserve">Title of paper </w:t>
    </w:r>
    <w:r>
      <w:rPr>
        <w:rFonts w:ascii="Times New Roman"/>
        <w:i/>
        <w:color w:val="FF0000"/>
      </w:rPr>
      <w:t>(11 Italic)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6B430" w14:textId="77777777" w:rsidR="00000000"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2846"/>
        </w:tabs>
        <w:ind w:left="12846"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61052"/>
    <w:multiLevelType w:val="multilevel"/>
    <w:tmpl w:val="13F861C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91F44EB"/>
    <w:multiLevelType w:val="multilevel"/>
    <w:tmpl w:val="381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AB16F8"/>
    <w:multiLevelType w:val="multilevel"/>
    <w:tmpl w:val="4BAB16F8"/>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1633721"/>
    <w:multiLevelType w:val="multilevel"/>
    <w:tmpl w:val="13F861C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299215865">
    <w:abstractNumId w:val="8"/>
  </w:num>
  <w:num w:numId="2" w16cid:durableId="1859200869">
    <w:abstractNumId w:val="6"/>
  </w:num>
  <w:num w:numId="3" w16cid:durableId="250511265">
    <w:abstractNumId w:val="5"/>
  </w:num>
  <w:num w:numId="4" w16cid:durableId="988901775">
    <w:abstractNumId w:val="4"/>
  </w:num>
  <w:num w:numId="5" w16cid:durableId="336155963">
    <w:abstractNumId w:val="7"/>
  </w:num>
  <w:num w:numId="6" w16cid:durableId="460000276">
    <w:abstractNumId w:val="3"/>
  </w:num>
  <w:num w:numId="7" w16cid:durableId="1091049174">
    <w:abstractNumId w:val="2"/>
  </w:num>
  <w:num w:numId="8" w16cid:durableId="1625235746">
    <w:abstractNumId w:val="1"/>
  </w:num>
  <w:num w:numId="9" w16cid:durableId="675961521">
    <w:abstractNumId w:val="0"/>
  </w:num>
  <w:num w:numId="10" w16cid:durableId="1709376352">
    <w:abstractNumId w:val="10"/>
  </w:num>
  <w:num w:numId="11" w16cid:durableId="152648000">
    <w:abstractNumId w:val="11"/>
  </w:num>
  <w:num w:numId="12" w16cid:durableId="187960329">
    <w:abstractNumId w:val="12"/>
  </w:num>
  <w:num w:numId="13" w16cid:durableId="11507561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701FA"/>
    <w:rsid w:val="000918BC"/>
    <w:rsid w:val="000F7E5A"/>
    <w:rsid w:val="001250A9"/>
    <w:rsid w:val="001347A8"/>
    <w:rsid w:val="0015074B"/>
    <w:rsid w:val="001634B9"/>
    <w:rsid w:val="00187030"/>
    <w:rsid w:val="001C0CBF"/>
    <w:rsid w:val="002064F6"/>
    <w:rsid w:val="00220448"/>
    <w:rsid w:val="00240CC9"/>
    <w:rsid w:val="0025241D"/>
    <w:rsid w:val="0029639D"/>
    <w:rsid w:val="002A2FD0"/>
    <w:rsid w:val="00326F90"/>
    <w:rsid w:val="003C3956"/>
    <w:rsid w:val="0043021C"/>
    <w:rsid w:val="004579FC"/>
    <w:rsid w:val="004E0C35"/>
    <w:rsid w:val="00575FC4"/>
    <w:rsid w:val="005A002D"/>
    <w:rsid w:val="005E768E"/>
    <w:rsid w:val="005F326A"/>
    <w:rsid w:val="00686E6E"/>
    <w:rsid w:val="006B7DD0"/>
    <w:rsid w:val="0076630F"/>
    <w:rsid w:val="007E7982"/>
    <w:rsid w:val="00806F1A"/>
    <w:rsid w:val="008A2200"/>
    <w:rsid w:val="008C62BF"/>
    <w:rsid w:val="00A23770"/>
    <w:rsid w:val="00A64316"/>
    <w:rsid w:val="00A85F75"/>
    <w:rsid w:val="00AA1D8D"/>
    <w:rsid w:val="00AA478E"/>
    <w:rsid w:val="00B47730"/>
    <w:rsid w:val="00B80B9C"/>
    <w:rsid w:val="00B96161"/>
    <w:rsid w:val="00BC7D07"/>
    <w:rsid w:val="00C32D39"/>
    <w:rsid w:val="00C73941"/>
    <w:rsid w:val="00CB0664"/>
    <w:rsid w:val="00CE7B90"/>
    <w:rsid w:val="00D34210"/>
    <w:rsid w:val="00D751C8"/>
    <w:rsid w:val="00D951DB"/>
    <w:rsid w:val="00DC44BD"/>
    <w:rsid w:val="00DD677E"/>
    <w:rsid w:val="00DE52AD"/>
    <w:rsid w:val="00E63697"/>
    <w:rsid w:val="00EB58FB"/>
    <w:rsid w:val="00EF5009"/>
    <w:rsid w:val="00EF6094"/>
    <w:rsid w:val="00F4509C"/>
    <w:rsid w:val="00F74A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1BB2C"/>
  <w14:defaultImageDpi w14:val="300"/>
  <w15:docId w15:val="{BE20C374-063B-490C-9F60-7CADA9D1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00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618BF"/>
  </w:style>
  <w:style w:type="paragraph" w:styleId="Footer">
    <w:name w:val="footer"/>
    <w:basedOn w:val="Normal"/>
    <w:link w:val="FooterChar"/>
    <w:uiPriority w:val="99"/>
    <w:unhideWhenUsed/>
    <w:qFormat/>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Text0">
    <w:name w:val="BodyText"/>
    <w:rPr>
      <w:rFonts w:ascii="Times New Roman" w:hAnsi="Times New Roman"/>
      <w:sz w:val="24"/>
    </w:rPr>
  </w:style>
  <w:style w:type="paragraph" w:styleId="NormalWeb">
    <w:name w:val="Normal (Web)"/>
    <w:basedOn w:val="Normal"/>
    <w:uiPriority w:val="99"/>
    <w:semiHidden/>
    <w:unhideWhenUsed/>
    <w:rsid w:val="006B7DD0"/>
    <w:rPr>
      <w:rFonts w:ascii="Times New Roman" w:hAnsi="Times New Roman" w:cs="Times New Roman"/>
      <w:sz w:val="24"/>
      <w:szCs w:val="24"/>
    </w:rPr>
  </w:style>
  <w:style w:type="character" w:styleId="Hyperlink">
    <w:name w:val="Hyperlink"/>
    <w:basedOn w:val="DefaultParagraphFont"/>
    <w:uiPriority w:val="99"/>
    <w:unhideWhenUsed/>
    <w:rsid w:val="00806F1A"/>
    <w:rPr>
      <w:color w:val="0000FF" w:themeColor="hyperlink"/>
      <w:u w:val="single"/>
    </w:rPr>
  </w:style>
  <w:style w:type="character" w:styleId="UnresolvedMention">
    <w:name w:val="Unresolved Mention"/>
    <w:basedOn w:val="DefaultParagraphFont"/>
    <w:uiPriority w:val="99"/>
    <w:semiHidden/>
    <w:unhideWhenUsed/>
    <w:rsid w:val="00806F1A"/>
    <w:rPr>
      <w:color w:val="605E5C"/>
      <w:shd w:val="clear" w:color="auto" w:fill="E1DFDD"/>
    </w:rPr>
  </w:style>
  <w:style w:type="paragraph" w:customStyle="1" w:styleId="Authors">
    <w:name w:val="Authors"/>
    <w:basedOn w:val="Normal"/>
    <w:next w:val="Normal"/>
    <w:rsid w:val="000F7E5A"/>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5898">
      <w:bodyDiv w:val="1"/>
      <w:marLeft w:val="0"/>
      <w:marRight w:val="0"/>
      <w:marTop w:val="0"/>
      <w:marBottom w:val="0"/>
      <w:divBdr>
        <w:top w:val="none" w:sz="0" w:space="0" w:color="auto"/>
        <w:left w:val="none" w:sz="0" w:space="0" w:color="auto"/>
        <w:bottom w:val="none" w:sz="0" w:space="0" w:color="auto"/>
        <w:right w:val="none" w:sz="0" w:space="0" w:color="auto"/>
      </w:divBdr>
    </w:div>
    <w:div w:id="54815307">
      <w:bodyDiv w:val="1"/>
      <w:marLeft w:val="0"/>
      <w:marRight w:val="0"/>
      <w:marTop w:val="0"/>
      <w:marBottom w:val="0"/>
      <w:divBdr>
        <w:top w:val="none" w:sz="0" w:space="0" w:color="auto"/>
        <w:left w:val="none" w:sz="0" w:space="0" w:color="auto"/>
        <w:bottom w:val="none" w:sz="0" w:space="0" w:color="auto"/>
        <w:right w:val="none" w:sz="0" w:space="0" w:color="auto"/>
      </w:divBdr>
    </w:div>
    <w:div w:id="226456994">
      <w:bodyDiv w:val="1"/>
      <w:marLeft w:val="0"/>
      <w:marRight w:val="0"/>
      <w:marTop w:val="0"/>
      <w:marBottom w:val="0"/>
      <w:divBdr>
        <w:top w:val="none" w:sz="0" w:space="0" w:color="auto"/>
        <w:left w:val="none" w:sz="0" w:space="0" w:color="auto"/>
        <w:bottom w:val="none" w:sz="0" w:space="0" w:color="auto"/>
        <w:right w:val="none" w:sz="0" w:space="0" w:color="auto"/>
      </w:divBdr>
    </w:div>
    <w:div w:id="249507692">
      <w:bodyDiv w:val="1"/>
      <w:marLeft w:val="0"/>
      <w:marRight w:val="0"/>
      <w:marTop w:val="0"/>
      <w:marBottom w:val="0"/>
      <w:divBdr>
        <w:top w:val="none" w:sz="0" w:space="0" w:color="auto"/>
        <w:left w:val="none" w:sz="0" w:space="0" w:color="auto"/>
        <w:bottom w:val="none" w:sz="0" w:space="0" w:color="auto"/>
        <w:right w:val="none" w:sz="0" w:space="0" w:color="auto"/>
      </w:divBdr>
    </w:div>
    <w:div w:id="290208664">
      <w:bodyDiv w:val="1"/>
      <w:marLeft w:val="0"/>
      <w:marRight w:val="0"/>
      <w:marTop w:val="0"/>
      <w:marBottom w:val="0"/>
      <w:divBdr>
        <w:top w:val="none" w:sz="0" w:space="0" w:color="auto"/>
        <w:left w:val="none" w:sz="0" w:space="0" w:color="auto"/>
        <w:bottom w:val="none" w:sz="0" w:space="0" w:color="auto"/>
        <w:right w:val="none" w:sz="0" w:space="0" w:color="auto"/>
      </w:divBdr>
    </w:div>
    <w:div w:id="310257091">
      <w:bodyDiv w:val="1"/>
      <w:marLeft w:val="0"/>
      <w:marRight w:val="0"/>
      <w:marTop w:val="0"/>
      <w:marBottom w:val="0"/>
      <w:divBdr>
        <w:top w:val="none" w:sz="0" w:space="0" w:color="auto"/>
        <w:left w:val="none" w:sz="0" w:space="0" w:color="auto"/>
        <w:bottom w:val="none" w:sz="0" w:space="0" w:color="auto"/>
        <w:right w:val="none" w:sz="0" w:space="0" w:color="auto"/>
      </w:divBdr>
    </w:div>
    <w:div w:id="484976332">
      <w:bodyDiv w:val="1"/>
      <w:marLeft w:val="0"/>
      <w:marRight w:val="0"/>
      <w:marTop w:val="0"/>
      <w:marBottom w:val="0"/>
      <w:divBdr>
        <w:top w:val="none" w:sz="0" w:space="0" w:color="auto"/>
        <w:left w:val="none" w:sz="0" w:space="0" w:color="auto"/>
        <w:bottom w:val="none" w:sz="0" w:space="0" w:color="auto"/>
        <w:right w:val="none" w:sz="0" w:space="0" w:color="auto"/>
      </w:divBdr>
    </w:div>
    <w:div w:id="573391535">
      <w:bodyDiv w:val="1"/>
      <w:marLeft w:val="0"/>
      <w:marRight w:val="0"/>
      <w:marTop w:val="0"/>
      <w:marBottom w:val="0"/>
      <w:divBdr>
        <w:top w:val="none" w:sz="0" w:space="0" w:color="auto"/>
        <w:left w:val="none" w:sz="0" w:space="0" w:color="auto"/>
        <w:bottom w:val="none" w:sz="0" w:space="0" w:color="auto"/>
        <w:right w:val="none" w:sz="0" w:space="0" w:color="auto"/>
      </w:divBdr>
    </w:div>
    <w:div w:id="685598151">
      <w:bodyDiv w:val="1"/>
      <w:marLeft w:val="0"/>
      <w:marRight w:val="0"/>
      <w:marTop w:val="0"/>
      <w:marBottom w:val="0"/>
      <w:divBdr>
        <w:top w:val="none" w:sz="0" w:space="0" w:color="auto"/>
        <w:left w:val="none" w:sz="0" w:space="0" w:color="auto"/>
        <w:bottom w:val="none" w:sz="0" w:space="0" w:color="auto"/>
        <w:right w:val="none" w:sz="0" w:space="0" w:color="auto"/>
      </w:divBdr>
    </w:div>
    <w:div w:id="767892676">
      <w:bodyDiv w:val="1"/>
      <w:marLeft w:val="0"/>
      <w:marRight w:val="0"/>
      <w:marTop w:val="0"/>
      <w:marBottom w:val="0"/>
      <w:divBdr>
        <w:top w:val="none" w:sz="0" w:space="0" w:color="auto"/>
        <w:left w:val="none" w:sz="0" w:space="0" w:color="auto"/>
        <w:bottom w:val="none" w:sz="0" w:space="0" w:color="auto"/>
        <w:right w:val="none" w:sz="0" w:space="0" w:color="auto"/>
      </w:divBdr>
    </w:div>
    <w:div w:id="896285809">
      <w:bodyDiv w:val="1"/>
      <w:marLeft w:val="0"/>
      <w:marRight w:val="0"/>
      <w:marTop w:val="0"/>
      <w:marBottom w:val="0"/>
      <w:divBdr>
        <w:top w:val="none" w:sz="0" w:space="0" w:color="auto"/>
        <w:left w:val="none" w:sz="0" w:space="0" w:color="auto"/>
        <w:bottom w:val="none" w:sz="0" w:space="0" w:color="auto"/>
        <w:right w:val="none" w:sz="0" w:space="0" w:color="auto"/>
      </w:divBdr>
    </w:div>
    <w:div w:id="975531121">
      <w:bodyDiv w:val="1"/>
      <w:marLeft w:val="0"/>
      <w:marRight w:val="0"/>
      <w:marTop w:val="0"/>
      <w:marBottom w:val="0"/>
      <w:divBdr>
        <w:top w:val="none" w:sz="0" w:space="0" w:color="auto"/>
        <w:left w:val="none" w:sz="0" w:space="0" w:color="auto"/>
        <w:bottom w:val="none" w:sz="0" w:space="0" w:color="auto"/>
        <w:right w:val="none" w:sz="0" w:space="0" w:color="auto"/>
      </w:divBdr>
    </w:div>
    <w:div w:id="979461462">
      <w:bodyDiv w:val="1"/>
      <w:marLeft w:val="0"/>
      <w:marRight w:val="0"/>
      <w:marTop w:val="0"/>
      <w:marBottom w:val="0"/>
      <w:divBdr>
        <w:top w:val="none" w:sz="0" w:space="0" w:color="auto"/>
        <w:left w:val="none" w:sz="0" w:space="0" w:color="auto"/>
        <w:bottom w:val="none" w:sz="0" w:space="0" w:color="auto"/>
        <w:right w:val="none" w:sz="0" w:space="0" w:color="auto"/>
      </w:divBdr>
    </w:div>
    <w:div w:id="1110122402">
      <w:bodyDiv w:val="1"/>
      <w:marLeft w:val="0"/>
      <w:marRight w:val="0"/>
      <w:marTop w:val="0"/>
      <w:marBottom w:val="0"/>
      <w:divBdr>
        <w:top w:val="none" w:sz="0" w:space="0" w:color="auto"/>
        <w:left w:val="none" w:sz="0" w:space="0" w:color="auto"/>
        <w:bottom w:val="none" w:sz="0" w:space="0" w:color="auto"/>
        <w:right w:val="none" w:sz="0" w:space="0" w:color="auto"/>
      </w:divBdr>
    </w:div>
    <w:div w:id="1124932060">
      <w:bodyDiv w:val="1"/>
      <w:marLeft w:val="0"/>
      <w:marRight w:val="0"/>
      <w:marTop w:val="0"/>
      <w:marBottom w:val="0"/>
      <w:divBdr>
        <w:top w:val="none" w:sz="0" w:space="0" w:color="auto"/>
        <w:left w:val="none" w:sz="0" w:space="0" w:color="auto"/>
        <w:bottom w:val="none" w:sz="0" w:space="0" w:color="auto"/>
        <w:right w:val="none" w:sz="0" w:space="0" w:color="auto"/>
      </w:divBdr>
    </w:div>
    <w:div w:id="1262639941">
      <w:bodyDiv w:val="1"/>
      <w:marLeft w:val="0"/>
      <w:marRight w:val="0"/>
      <w:marTop w:val="0"/>
      <w:marBottom w:val="0"/>
      <w:divBdr>
        <w:top w:val="none" w:sz="0" w:space="0" w:color="auto"/>
        <w:left w:val="none" w:sz="0" w:space="0" w:color="auto"/>
        <w:bottom w:val="none" w:sz="0" w:space="0" w:color="auto"/>
        <w:right w:val="none" w:sz="0" w:space="0" w:color="auto"/>
      </w:divBdr>
    </w:div>
    <w:div w:id="1348823182">
      <w:bodyDiv w:val="1"/>
      <w:marLeft w:val="0"/>
      <w:marRight w:val="0"/>
      <w:marTop w:val="0"/>
      <w:marBottom w:val="0"/>
      <w:divBdr>
        <w:top w:val="none" w:sz="0" w:space="0" w:color="auto"/>
        <w:left w:val="none" w:sz="0" w:space="0" w:color="auto"/>
        <w:bottom w:val="none" w:sz="0" w:space="0" w:color="auto"/>
        <w:right w:val="none" w:sz="0" w:space="0" w:color="auto"/>
      </w:divBdr>
    </w:div>
    <w:div w:id="1366711475">
      <w:bodyDiv w:val="1"/>
      <w:marLeft w:val="0"/>
      <w:marRight w:val="0"/>
      <w:marTop w:val="0"/>
      <w:marBottom w:val="0"/>
      <w:divBdr>
        <w:top w:val="none" w:sz="0" w:space="0" w:color="auto"/>
        <w:left w:val="none" w:sz="0" w:space="0" w:color="auto"/>
        <w:bottom w:val="none" w:sz="0" w:space="0" w:color="auto"/>
        <w:right w:val="none" w:sz="0" w:space="0" w:color="auto"/>
      </w:divBdr>
    </w:div>
    <w:div w:id="1430656279">
      <w:bodyDiv w:val="1"/>
      <w:marLeft w:val="0"/>
      <w:marRight w:val="0"/>
      <w:marTop w:val="0"/>
      <w:marBottom w:val="0"/>
      <w:divBdr>
        <w:top w:val="none" w:sz="0" w:space="0" w:color="auto"/>
        <w:left w:val="none" w:sz="0" w:space="0" w:color="auto"/>
        <w:bottom w:val="none" w:sz="0" w:space="0" w:color="auto"/>
        <w:right w:val="none" w:sz="0" w:space="0" w:color="auto"/>
      </w:divBdr>
    </w:div>
    <w:div w:id="1463422060">
      <w:bodyDiv w:val="1"/>
      <w:marLeft w:val="0"/>
      <w:marRight w:val="0"/>
      <w:marTop w:val="0"/>
      <w:marBottom w:val="0"/>
      <w:divBdr>
        <w:top w:val="none" w:sz="0" w:space="0" w:color="auto"/>
        <w:left w:val="none" w:sz="0" w:space="0" w:color="auto"/>
        <w:bottom w:val="none" w:sz="0" w:space="0" w:color="auto"/>
        <w:right w:val="none" w:sz="0" w:space="0" w:color="auto"/>
      </w:divBdr>
    </w:div>
    <w:div w:id="1718385314">
      <w:bodyDiv w:val="1"/>
      <w:marLeft w:val="0"/>
      <w:marRight w:val="0"/>
      <w:marTop w:val="0"/>
      <w:marBottom w:val="0"/>
      <w:divBdr>
        <w:top w:val="none" w:sz="0" w:space="0" w:color="auto"/>
        <w:left w:val="none" w:sz="0" w:space="0" w:color="auto"/>
        <w:bottom w:val="none" w:sz="0" w:space="0" w:color="auto"/>
        <w:right w:val="none" w:sz="0" w:space="0" w:color="auto"/>
      </w:divBdr>
    </w:div>
    <w:div w:id="1910309560">
      <w:bodyDiv w:val="1"/>
      <w:marLeft w:val="0"/>
      <w:marRight w:val="0"/>
      <w:marTop w:val="0"/>
      <w:marBottom w:val="0"/>
      <w:divBdr>
        <w:top w:val="none" w:sz="0" w:space="0" w:color="auto"/>
        <w:left w:val="none" w:sz="0" w:space="0" w:color="auto"/>
        <w:bottom w:val="none" w:sz="0" w:space="0" w:color="auto"/>
        <w:right w:val="none" w:sz="0" w:space="0" w:color="auto"/>
      </w:divBdr>
    </w:div>
    <w:div w:id="2000232473">
      <w:bodyDiv w:val="1"/>
      <w:marLeft w:val="0"/>
      <w:marRight w:val="0"/>
      <w:marTop w:val="0"/>
      <w:marBottom w:val="0"/>
      <w:divBdr>
        <w:top w:val="none" w:sz="0" w:space="0" w:color="auto"/>
        <w:left w:val="none" w:sz="0" w:space="0" w:color="auto"/>
        <w:bottom w:val="none" w:sz="0" w:space="0" w:color="auto"/>
        <w:right w:val="none" w:sz="0" w:space="0" w:color="auto"/>
      </w:divBdr>
    </w:div>
    <w:div w:id="2018459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5465/amr.1995.9512280033"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63DD-C375-4409-AF93-039C42CB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Varun Choudhary</cp:lastModifiedBy>
  <cp:revision>12</cp:revision>
  <dcterms:created xsi:type="dcterms:W3CDTF">2025-04-04T19:26:00Z</dcterms:created>
  <dcterms:modified xsi:type="dcterms:W3CDTF">2025-04-08T10:08:00Z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5f5a3eccf7d7b92123cf8b1e0c84e60b1afef8c9a200a46d0a924f06c27b43b9</vt:lpwstr>
  </property>
</Properties>
</file>