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3C1A" w14:textId="77777777" w:rsidR="00986618" w:rsidRPr="00521250" w:rsidRDefault="00986618" w:rsidP="00986618">
      <w:pPr>
        <w:pStyle w:val="Default"/>
        <w:rPr>
          <w:b/>
          <w:bCs/>
          <w:color w:val="4472C4" w:themeColor="accent1"/>
          <w:sz w:val="28"/>
          <w:szCs w:val="28"/>
        </w:rPr>
      </w:pPr>
      <w:r w:rsidRPr="00521250">
        <w:rPr>
          <w:b/>
          <w:bCs/>
          <w:color w:val="4472C4" w:themeColor="accent1"/>
          <w:sz w:val="28"/>
          <w:szCs w:val="28"/>
        </w:rPr>
        <w:t xml:space="preserve">Information Protection </w:t>
      </w:r>
    </w:p>
    <w:p w14:paraId="072A6513" w14:textId="77777777" w:rsidR="00986618" w:rsidRPr="00521250" w:rsidRDefault="00986618" w:rsidP="00986618">
      <w:pPr>
        <w:pStyle w:val="Default"/>
        <w:rPr>
          <w:color w:val="4472C4" w:themeColor="accent1"/>
          <w:sz w:val="48"/>
          <w:szCs w:val="48"/>
        </w:rPr>
      </w:pPr>
      <w:r w:rsidRPr="00521250">
        <w:rPr>
          <w:color w:val="4472C4" w:themeColor="accent1"/>
          <w:sz w:val="48"/>
          <w:szCs w:val="48"/>
        </w:rPr>
        <w:t xml:space="preserve">Classification &amp; Labeling Taxonomy in </w:t>
      </w:r>
      <w:bookmarkStart w:id="0" w:name="_Hlk477460605"/>
      <w:r w:rsidRPr="00521250">
        <w:rPr>
          <w:color w:val="4472C4" w:themeColor="accent1"/>
          <w:sz w:val="48"/>
          <w:szCs w:val="48"/>
        </w:rPr>
        <w:t xml:space="preserve">Contoso </w:t>
      </w:r>
      <w:bookmarkEnd w:id="0"/>
    </w:p>
    <w:p w14:paraId="00744327" w14:textId="77777777" w:rsidR="00986618" w:rsidRDefault="00986618" w:rsidP="00734B0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document captures the classification &amp; labeling taxonomy which has been adopted for </w:t>
      </w:r>
      <w:r w:rsidR="00734B0B" w:rsidRPr="00734B0B">
        <w:rPr>
          <w:color w:val="auto"/>
          <w:sz w:val="20"/>
          <w:szCs w:val="20"/>
        </w:rPr>
        <w:t>Contoso</w:t>
      </w:r>
      <w:r>
        <w:rPr>
          <w:color w:val="auto"/>
          <w:sz w:val="20"/>
          <w:szCs w:val="20"/>
        </w:rPr>
        <w:t xml:space="preserve">. </w:t>
      </w:r>
    </w:p>
    <w:p w14:paraId="0740D9F5" w14:textId="77777777" w:rsidR="00521250" w:rsidRDefault="00521250" w:rsidP="00734B0B">
      <w:pPr>
        <w:pStyle w:val="Default"/>
        <w:rPr>
          <w:color w:val="auto"/>
          <w:sz w:val="20"/>
          <w:szCs w:val="20"/>
        </w:rPr>
      </w:pPr>
    </w:p>
    <w:p w14:paraId="5DF6349D" w14:textId="77777777" w:rsidR="00521250" w:rsidRPr="00521250" w:rsidRDefault="00986618" w:rsidP="00734B0B">
      <w:pPr>
        <w:pStyle w:val="Default"/>
        <w:rPr>
          <w:b/>
          <w:bCs/>
          <w:color w:val="4472C4" w:themeColor="accent1"/>
          <w:sz w:val="23"/>
          <w:szCs w:val="23"/>
        </w:rPr>
      </w:pPr>
      <w:r w:rsidRPr="00521250">
        <w:rPr>
          <w:b/>
          <w:bCs/>
          <w:color w:val="4472C4" w:themeColor="accent1"/>
          <w:sz w:val="23"/>
          <w:szCs w:val="23"/>
        </w:rPr>
        <w:t xml:space="preserve">Classification "labels" &amp; "scope" in </w:t>
      </w:r>
      <w:r w:rsidR="00734B0B" w:rsidRPr="00521250">
        <w:rPr>
          <w:b/>
          <w:bCs/>
          <w:color w:val="4472C4" w:themeColor="accent1"/>
          <w:sz w:val="23"/>
          <w:szCs w:val="23"/>
        </w:rPr>
        <w:t>Contoso</w:t>
      </w:r>
    </w:p>
    <w:p w14:paraId="494D619C" w14:textId="77777777" w:rsidR="00521250" w:rsidRDefault="00521250" w:rsidP="00734B0B">
      <w:pPr>
        <w:pStyle w:val="Default"/>
        <w:rPr>
          <w:b/>
          <w:bCs/>
          <w:color w:val="auto"/>
          <w:sz w:val="23"/>
          <w:szCs w:val="23"/>
        </w:rPr>
      </w:pPr>
    </w:p>
    <w:p w14:paraId="38A6757D" w14:textId="77777777" w:rsidR="00986618" w:rsidRDefault="00521250" w:rsidP="00734B0B">
      <w:pPr>
        <w:pStyle w:val="Default"/>
        <w:rPr>
          <w:color w:val="auto"/>
          <w:sz w:val="23"/>
          <w:szCs w:val="23"/>
        </w:rPr>
      </w:pPr>
      <w:r>
        <w:rPr>
          <w:noProof/>
          <w:color w:val="auto"/>
        </w:rPr>
        <w:drawing>
          <wp:inline distT="0" distB="0" distL="0" distR="0" wp14:anchorId="60CD1A03" wp14:editId="376BC466">
            <wp:extent cx="6619875" cy="824230"/>
            <wp:effectExtent l="0" t="0" r="9525" b="0"/>
            <wp:docPr id="1" name="Picture 1" descr="C:\Users\hedavid\AppData\Local\Microsoft\Windows\INetCache\Content.Word\cont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david\AppData\Local\Microsoft\Windows\INetCache\Content.Word\contos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11C0" w14:textId="77777777" w:rsidR="00521250" w:rsidRDefault="00521250" w:rsidP="00986618">
      <w:pPr>
        <w:pStyle w:val="Default"/>
        <w:rPr>
          <w:b/>
          <w:bCs/>
          <w:color w:val="auto"/>
          <w:sz w:val="20"/>
          <w:szCs w:val="20"/>
        </w:rPr>
      </w:pPr>
    </w:p>
    <w:p w14:paraId="4F13EEAE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 w:rsidRPr="00521250">
        <w:rPr>
          <w:b/>
          <w:bCs/>
          <w:color w:val="4472C4" w:themeColor="accent1"/>
          <w:sz w:val="20"/>
          <w:szCs w:val="20"/>
        </w:rPr>
        <w:t>Labels</w:t>
      </w:r>
      <w:r>
        <w:rPr>
          <w:b/>
          <w:bCs/>
          <w:color w:val="auto"/>
          <w:sz w:val="20"/>
          <w:szCs w:val="20"/>
        </w:rPr>
        <w:t xml:space="preserve">: </w:t>
      </w:r>
    </w:p>
    <w:p w14:paraId="4AB873AF" w14:textId="77777777" w:rsidR="00986618" w:rsidRPr="00521250" w:rsidRDefault="00986618" w:rsidP="00986618">
      <w:pPr>
        <w:pStyle w:val="Default"/>
        <w:spacing w:after="48"/>
        <w:rPr>
          <w:color w:val="A5A5A5" w:themeColor="accent3"/>
          <w:sz w:val="20"/>
          <w:szCs w:val="20"/>
        </w:rPr>
      </w:pPr>
      <w:r w:rsidRPr="00521250">
        <w:rPr>
          <w:color w:val="A5A5A5" w:themeColor="accent3"/>
          <w:sz w:val="20"/>
          <w:szCs w:val="20"/>
        </w:rPr>
        <w:t xml:space="preserve"> </w:t>
      </w:r>
      <w:r w:rsidRPr="00521250">
        <w:rPr>
          <w:b/>
          <w:bCs/>
          <w:color w:val="A5A5A5" w:themeColor="accent3"/>
          <w:sz w:val="20"/>
          <w:szCs w:val="20"/>
        </w:rPr>
        <w:t xml:space="preserve">Non-Business </w:t>
      </w:r>
    </w:p>
    <w:p w14:paraId="213ADEB0" w14:textId="77777777" w:rsidR="00986618" w:rsidRPr="00521250" w:rsidRDefault="00986618" w:rsidP="00986618">
      <w:pPr>
        <w:pStyle w:val="Default"/>
        <w:spacing w:after="48"/>
        <w:rPr>
          <w:color w:val="00B050"/>
          <w:sz w:val="20"/>
          <w:szCs w:val="20"/>
        </w:rPr>
      </w:pPr>
      <w:r w:rsidRPr="00521250">
        <w:rPr>
          <w:color w:val="00B050"/>
          <w:sz w:val="20"/>
          <w:szCs w:val="20"/>
        </w:rPr>
        <w:t xml:space="preserve"> Public </w:t>
      </w:r>
    </w:p>
    <w:p w14:paraId="6A7DBECE" w14:textId="77777777" w:rsidR="00986618" w:rsidRPr="00521250" w:rsidRDefault="00986618" w:rsidP="00986618">
      <w:pPr>
        <w:pStyle w:val="Default"/>
        <w:spacing w:after="48"/>
        <w:rPr>
          <w:color w:val="0070C0"/>
          <w:sz w:val="20"/>
          <w:szCs w:val="20"/>
        </w:rPr>
      </w:pPr>
      <w:r w:rsidRPr="00521250">
        <w:rPr>
          <w:color w:val="0070C0"/>
          <w:sz w:val="20"/>
          <w:szCs w:val="20"/>
        </w:rPr>
        <w:t xml:space="preserve"> General </w:t>
      </w:r>
    </w:p>
    <w:p w14:paraId="750DDFDE" w14:textId="77777777" w:rsidR="00986618" w:rsidRPr="00521250" w:rsidRDefault="00986618" w:rsidP="00986618">
      <w:pPr>
        <w:pStyle w:val="Default"/>
        <w:spacing w:after="48"/>
        <w:rPr>
          <w:color w:val="FFC000"/>
          <w:sz w:val="20"/>
          <w:szCs w:val="20"/>
        </w:rPr>
      </w:pPr>
      <w:r w:rsidRPr="00521250">
        <w:rPr>
          <w:color w:val="FFC000"/>
          <w:sz w:val="20"/>
          <w:szCs w:val="20"/>
        </w:rPr>
        <w:t xml:space="preserve"> Confidential </w:t>
      </w:r>
    </w:p>
    <w:p w14:paraId="30522B3B" w14:textId="77777777" w:rsidR="00986618" w:rsidRPr="00521250" w:rsidRDefault="00986618" w:rsidP="00986618">
      <w:pPr>
        <w:pStyle w:val="Default"/>
        <w:rPr>
          <w:color w:val="FF0000"/>
          <w:sz w:val="20"/>
          <w:szCs w:val="20"/>
        </w:rPr>
      </w:pPr>
      <w:r w:rsidRPr="00521250">
        <w:rPr>
          <w:color w:val="FF0000"/>
          <w:sz w:val="20"/>
          <w:szCs w:val="20"/>
        </w:rPr>
        <w:t xml:space="preserve"> Highly Confidential </w:t>
      </w:r>
    </w:p>
    <w:p w14:paraId="5B513958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</w:p>
    <w:p w14:paraId="5611C6AD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 w:rsidRPr="00521250">
        <w:rPr>
          <w:b/>
          <w:bCs/>
          <w:color w:val="4472C4" w:themeColor="accent1"/>
          <w:sz w:val="20"/>
          <w:szCs w:val="20"/>
        </w:rPr>
        <w:t>Scope</w:t>
      </w:r>
      <w:r>
        <w:rPr>
          <w:b/>
          <w:bCs/>
          <w:color w:val="auto"/>
          <w:sz w:val="20"/>
          <w:szCs w:val="20"/>
        </w:rPr>
        <w:t xml:space="preserve">: </w:t>
      </w:r>
      <w:r>
        <w:rPr>
          <w:color w:val="auto"/>
          <w:sz w:val="20"/>
          <w:szCs w:val="20"/>
        </w:rPr>
        <w:t xml:space="preserve">(Available only for Confidential &amp; Highly Confidential) </w:t>
      </w:r>
    </w:p>
    <w:p w14:paraId="02FFAF4C" w14:textId="77777777" w:rsidR="00986618" w:rsidRDefault="00986618" w:rsidP="00734B0B">
      <w:pPr>
        <w:pStyle w:val="Default"/>
        <w:spacing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 </w:t>
      </w:r>
      <w:r w:rsidR="00734B0B" w:rsidRPr="00734B0B">
        <w:rPr>
          <w:color w:val="auto"/>
          <w:sz w:val="20"/>
          <w:szCs w:val="20"/>
        </w:rPr>
        <w:t xml:space="preserve">Contoso </w:t>
      </w:r>
      <w:r>
        <w:rPr>
          <w:color w:val="auto"/>
          <w:sz w:val="20"/>
          <w:szCs w:val="20"/>
        </w:rPr>
        <w:t xml:space="preserve">Executive and Staff (visible only to the </w:t>
      </w:r>
      <w:r w:rsidR="00734B0B" w:rsidRPr="00734B0B">
        <w:rPr>
          <w:color w:val="auto"/>
          <w:sz w:val="20"/>
          <w:szCs w:val="20"/>
        </w:rPr>
        <w:t>Contoso</w:t>
      </w:r>
      <w:r w:rsidR="00734B0B">
        <w:rPr>
          <w:color w:val="auto"/>
          <w:sz w:val="20"/>
          <w:szCs w:val="20"/>
        </w:rPr>
        <w:t>’s</w:t>
      </w:r>
      <w:r w:rsidR="00734B0B" w:rsidRPr="00734B0B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Senior Leadership) </w:t>
      </w:r>
    </w:p>
    <w:p w14:paraId="25F49EEC" w14:textId="77777777" w:rsidR="00986618" w:rsidRDefault="00986618" w:rsidP="00986618">
      <w:pPr>
        <w:pStyle w:val="Default"/>
        <w:spacing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 </w:t>
      </w:r>
      <w:r w:rsidR="00734B0B" w:rsidRPr="00734B0B">
        <w:rPr>
          <w:color w:val="auto"/>
          <w:sz w:val="20"/>
          <w:szCs w:val="20"/>
        </w:rPr>
        <w:t xml:space="preserve">Contoso </w:t>
      </w:r>
      <w:r>
        <w:rPr>
          <w:color w:val="auto"/>
          <w:sz w:val="20"/>
          <w:szCs w:val="20"/>
        </w:rPr>
        <w:t xml:space="preserve">FTE (visible to all Full-Time Employees (FTE)) </w:t>
      </w:r>
    </w:p>
    <w:p w14:paraId="348192F0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 </w:t>
      </w:r>
      <w:r w:rsidR="00734B0B" w:rsidRPr="00734B0B">
        <w:rPr>
          <w:color w:val="auto"/>
          <w:sz w:val="20"/>
          <w:szCs w:val="20"/>
        </w:rPr>
        <w:t xml:space="preserve">Contoso </w:t>
      </w:r>
      <w:r>
        <w:rPr>
          <w:color w:val="auto"/>
          <w:sz w:val="20"/>
          <w:szCs w:val="20"/>
        </w:rPr>
        <w:t xml:space="preserve">Extended (visible to FTE + non-FTE) </w:t>
      </w:r>
    </w:p>
    <w:p w14:paraId="69EECB70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</w:p>
    <w:p w14:paraId="08FF881E" w14:textId="77777777" w:rsidR="00521250" w:rsidRDefault="00521250">
      <w:pPr>
        <w:rPr>
          <w:rFonts w:ascii="Segoe UI" w:hAnsi="Segoe UI" w:cs="Segoe UI"/>
          <w:b/>
          <w:bCs/>
          <w:color w:val="4472C4" w:themeColor="accent1"/>
          <w:sz w:val="23"/>
          <w:szCs w:val="23"/>
        </w:rPr>
      </w:pPr>
      <w:r>
        <w:rPr>
          <w:b/>
          <w:bCs/>
          <w:color w:val="4472C4" w:themeColor="accent1"/>
          <w:sz w:val="23"/>
          <w:szCs w:val="23"/>
        </w:rPr>
        <w:br w:type="page"/>
      </w:r>
    </w:p>
    <w:p w14:paraId="4E15A71D" w14:textId="77777777" w:rsidR="00986618" w:rsidRPr="00521250" w:rsidRDefault="00986618" w:rsidP="00986618">
      <w:pPr>
        <w:pStyle w:val="Default"/>
        <w:rPr>
          <w:color w:val="4472C4" w:themeColor="accent1"/>
          <w:sz w:val="23"/>
          <w:szCs w:val="23"/>
        </w:rPr>
      </w:pPr>
      <w:r w:rsidRPr="00521250">
        <w:rPr>
          <w:b/>
          <w:bCs/>
          <w:color w:val="4472C4" w:themeColor="accent1"/>
          <w:sz w:val="23"/>
          <w:szCs w:val="23"/>
        </w:rPr>
        <w:lastRenderedPageBreak/>
        <w:t xml:space="preserve">Impact of each label &amp; scope </w:t>
      </w:r>
    </w:p>
    <w:p w14:paraId="2FB8D090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table captures the impact of applying a label &amp; scope: </w:t>
      </w:r>
    </w:p>
    <w:p w14:paraId="6025F3A9" w14:textId="77777777" w:rsidR="00986618" w:rsidRDefault="00986618" w:rsidP="00986618">
      <w:pPr>
        <w:pStyle w:val="Default"/>
        <w:spacing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 The first column refers to the sub/label which can be applied by you (or any end user). </w:t>
      </w:r>
    </w:p>
    <w:p w14:paraId="2B0181F2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 The corresponding cells captures the allowed set of recipient actions </w:t>
      </w:r>
    </w:p>
    <w:p w14:paraId="73E2FBCD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</w:p>
    <w:p w14:paraId="65E2CDF9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Examples from the table below: </w:t>
      </w:r>
    </w:p>
    <w:p w14:paraId="4904B5E1" w14:textId="77777777" w:rsidR="00986618" w:rsidRDefault="00986618" w:rsidP="00986618">
      <w:pPr>
        <w:pStyle w:val="Default"/>
        <w:spacing w:after="4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1. By applying the "</w:t>
      </w:r>
      <w:r>
        <w:rPr>
          <w:b/>
          <w:bCs/>
          <w:color w:val="auto"/>
          <w:sz w:val="20"/>
          <w:szCs w:val="20"/>
        </w:rPr>
        <w:t>Non-Business</w:t>
      </w:r>
      <w:r>
        <w:rPr>
          <w:color w:val="auto"/>
          <w:sz w:val="20"/>
          <w:szCs w:val="20"/>
        </w:rPr>
        <w:t xml:space="preserve">" label, recipients can view, forward, print, save the content. The content is not </w:t>
      </w:r>
      <w:r w:rsidR="001D45D9">
        <w:rPr>
          <w:color w:val="auto"/>
          <w:sz w:val="20"/>
          <w:szCs w:val="20"/>
        </w:rPr>
        <w:t>Encrypted</w:t>
      </w:r>
      <w:r>
        <w:rPr>
          <w:color w:val="auto"/>
          <w:sz w:val="20"/>
          <w:szCs w:val="20"/>
        </w:rPr>
        <w:t xml:space="preserve">. </w:t>
      </w:r>
    </w:p>
    <w:p w14:paraId="54C24C35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2. By applying the "</w:t>
      </w:r>
      <w:r>
        <w:rPr>
          <w:b/>
          <w:bCs/>
          <w:color w:val="auto"/>
          <w:sz w:val="20"/>
          <w:szCs w:val="20"/>
        </w:rPr>
        <w:t>Confidential \ Recipients Only</w:t>
      </w:r>
      <w:r>
        <w:rPr>
          <w:color w:val="auto"/>
          <w:sz w:val="20"/>
          <w:szCs w:val="20"/>
        </w:rPr>
        <w:t xml:space="preserve">" label, recipients can view, reply, print &amp; save the content. However, recipients cannot forward the content or remove </w:t>
      </w:r>
      <w:r w:rsidR="001D45D9">
        <w:rPr>
          <w:color w:val="auto"/>
          <w:sz w:val="20"/>
          <w:szCs w:val="20"/>
        </w:rPr>
        <w:t>Encryption</w:t>
      </w:r>
      <w:r>
        <w:rPr>
          <w:color w:val="auto"/>
          <w:sz w:val="20"/>
          <w:szCs w:val="20"/>
        </w:rPr>
        <w:t xml:space="preserve">. </w:t>
      </w:r>
    </w:p>
    <w:p w14:paraId="3CF2746E" w14:textId="77777777" w:rsidR="00986618" w:rsidRPr="00245D5E" w:rsidRDefault="00986618" w:rsidP="00245D5E">
      <w:pPr>
        <w:pStyle w:val="Default"/>
        <w:rPr>
          <w:sz w:val="14"/>
          <w:szCs w:val="14"/>
        </w:rPr>
      </w:pPr>
    </w:p>
    <w:p w14:paraId="3C697E5F" w14:textId="77777777" w:rsidR="00986618" w:rsidRDefault="00986618" w:rsidP="00245D5E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3. By applying the "</w:t>
      </w:r>
      <w:r>
        <w:rPr>
          <w:b/>
          <w:bCs/>
          <w:color w:val="auto"/>
          <w:sz w:val="20"/>
          <w:szCs w:val="20"/>
        </w:rPr>
        <w:t xml:space="preserve">Confidential \ </w:t>
      </w:r>
      <w:r w:rsidR="00245D5E" w:rsidRPr="00245D5E">
        <w:rPr>
          <w:b/>
          <w:bCs/>
          <w:color w:val="auto"/>
          <w:sz w:val="20"/>
          <w:szCs w:val="20"/>
        </w:rPr>
        <w:t xml:space="preserve">Contoso </w:t>
      </w:r>
      <w:r>
        <w:rPr>
          <w:b/>
          <w:bCs/>
          <w:color w:val="auto"/>
          <w:sz w:val="20"/>
          <w:szCs w:val="20"/>
        </w:rPr>
        <w:t>Executive and Staff</w:t>
      </w:r>
      <w:r>
        <w:rPr>
          <w:color w:val="auto"/>
          <w:sz w:val="20"/>
          <w:szCs w:val="20"/>
        </w:rPr>
        <w:t xml:space="preserve">" label, only members of </w:t>
      </w:r>
      <w:proofErr w:type="spellStart"/>
      <w:r>
        <w:rPr>
          <w:color w:val="auto"/>
          <w:sz w:val="20"/>
          <w:szCs w:val="20"/>
        </w:rPr>
        <w:t>Ex</w:t>
      </w:r>
      <w:r w:rsidR="00245D5E">
        <w:rPr>
          <w:color w:val="auto"/>
          <w:sz w:val="20"/>
          <w:szCs w:val="20"/>
        </w:rPr>
        <w:t>ec</w:t>
      </w:r>
      <w:r>
        <w:rPr>
          <w:color w:val="auto"/>
          <w:sz w:val="20"/>
          <w:szCs w:val="20"/>
        </w:rPr>
        <w:t>Staff</w:t>
      </w:r>
      <w:proofErr w:type="spellEnd"/>
      <w:r>
        <w:rPr>
          <w:color w:val="auto"/>
          <w:sz w:val="20"/>
          <w:szCs w:val="20"/>
        </w:rPr>
        <w:t xml:space="preserve"> &amp; </w:t>
      </w:r>
      <w:proofErr w:type="spellStart"/>
      <w:r>
        <w:rPr>
          <w:color w:val="auto"/>
          <w:sz w:val="20"/>
          <w:szCs w:val="20"/>
        </w:rPr>
        <w:t>ExecDir</w:t>
      </w:r>
      <w:proofErr w:type="spellEnd"/>
      <w:r>
        <w:rPr>
          <w:color w:val="auto"/>
          <w:sz w:val="20"/>
          <w:szCs w:val="20"/>
        </w:rPr>
        <w:t xml:space="preserve"> can view, forward, reply, print and save the content. However, only members of </w:t>
      </w:r>
      <w:proofErr w:type="spellStart"/>
      <w:r>
        <w:rPr>
          <w:color w:val="auto"/>
          <w:sz w:val="20"/>
          <w:szCs w:val="20"/>
        </w:rPr>
        <w:t>ExStaff</w:t>
      </w:r>
      <w:proofErr w:type="spellEnd"/>
      <w:r>
        <w:rPr>
          <w:color w:val="auto"/>
          <w:sz w:val="20"/>
          <w:szCs w:val="20"/>
        </w:rPr>
        <w:t xml:space="preserve"> can remove the </w:t>
      </w:r>
      <w:r w:rsidR="001D45D9">
        <w:rPr>
          <w:color w:val="auto"/>
          <w:sz w:val="20"/>
          <w:szCs w:val="20"/>
        </w:rPr>
        <w:t>Encryption</w:t>
      </w:r>
      <w:r>
        <w:rPr>
          <w:color w:val="auto"/>
          <w:sz w:val="20"/>
          <w:szCs w:val="20"/>
        </w:rPr>
        <w:t xml:space="preserve"> - while members of </w:t>
      </w:r>
      <w:proofErr w:type="spellStart"/>
      <w:r>
        <w:rPr>
          <w:color w:val="auto"/>
          <w:sz w:val="20"/>
          <w:szCs w:val="20"/>
        </w:rPr>
        <w:t>ExecDir</w:t>
      </w:r>
      <w:proofErr w:type="spellEnd"/>
      <w:r>
        <w:rPr>
          <w:color w:val="auto"/>
          <w:sz w:val="20"/>
          <w:szCs w:val="20"/>
        </w:rPr>
        <w:t xml:space="preserve"> cannot. </w:t>
      </w:r>
    </w:p>
    <w:p w14:paraId="3621D742" w14:textId="77777777" w:rsidR="00521250" w:rsidRDefault="00521250" w:rsidP="00245D5E">
      <w:pPr>
        <w:pStyle w:val="Default"/>
        <w:rPr>
          <w:color w:val="auto"/>
          <w:sz w:val="20"/>
          <w:szCs w:val="20"/>
        </w:rPr>
      </w:pPr>
    </w:p>
    <w:tbl>
      <w:tblPr>
        <w:tblW w:w="10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342"/>
        <w:gridCol w:w="1519"/>
        <w:gridCol w:w="1519"/>
        <w:gridCol w:w="1519"/>
        <w:gridCol w:w="1519"/>
        <w:gridCol w:w="1520"/>
      </w:tblGrid>
      <w:tr w:rsidR="00986618" w14:paraId="348AE0F9" w14:textId="77777777" w:rsidTr="00E24223">
        <w:trPr>
          <w:trHeight w:val="93"/>
          <w:jc w:val="center"/>
        </w:trPr>
        <w:tc>
          <w:tcPr>
            <w:tcW w:w="10634" w:type="dxa"/>
            <w:gridSpan w:val="7"/>
            <w:shd w:val="clear" w:color="auto" w:fill="BFBFBF" w:themeFill="background1" w:themeFillShade="BF"/>
          </w:tcPr>
          <w:p w14:paraId="4B4BC329" w14:textId="77777777" w:rsidR="00986618" w:rsidRDefault="0098661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The recipient…. </w:t>
            </w:r>
          </w:p>
        </w:tc>
      </w:tr>
      <w:tr w:rsidR="00986618" w14:paraId="767C7554" w14:textId="77777777" w:rsidTr="00E24223">
        <w:trPr>
          <w:trHeight w:val="295"/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4EE58B92" w14:textId="77777777" w:rsidR="00986618" w:rsidRDefault="0098661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Classification applied by owner: </w:t>
            </w:r>
          </w:p>
        </w:tc>
        <w:tc>
          <w:tcPr>
            <w:tcW w:w="1342" w:type="dxa"/>
            <w:shd w:val="clear" w:color="auto" w:fill="BFBFBF" w:themeFill="background1" w:themeFillShade="BF"/>
          </w:tcPr>
          <w:p w14:paraId="57283515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view content/mail? 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14:paraId="3C8946B0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forward the mail? 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14:paraId="7969A287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reply to the mail? 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14:paraId="648D1804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print content/mail? 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14:paraId="13DF3EC7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save content/mail? 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14:paraId="76780C4A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re-protect/remove protection </w:t>
            </w:r>
          </w:p>
        </w:tc>
      </w:tr>
      <w:tr w:rsidR="00B917B3" w14:paraId="41171046" w14:textId="77777777" w:rsidTr="00450B7D">
        <w:trPr>
          <w:trHeight w:val="75"/>
          <w:jc w:val="center"/>
        </w:trPr>
        <w:tc>
          <w:tcPr>
            <w:tcW w:w="1696" w:type="dxa"/>
            <w:shd w:val="clear" w:color="auto" w:fill="808080" w:themeFill="background1" w:themeFillShade="80"/>
          </w:tcPr>
          <w:p w14:paraId="1FAE20DD" w14:textId="77777777" w:rsidR="00B917B3" w:rsidRDefault="00B917B3" w:rsidP="00B917B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Non-Business </w:t>
            </w:r>
          </w:p>
        </w:tc>
        <w:tc>
          <w:tcPr>
            <w:tcW w:w="1342" w:type="dxa"/>
          </w:tcPr>
          <w:p w14:paraId="762F6FCF" w14:textId="0BBFA552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14E15AE1" w14:textId="516A5D56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246814D3" w14:textId="6CCABE0B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47F3A723" w14:textId="5D6157BA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695FC44D" w14:textId="20013C25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20" w:type="dxa"/>
          </w:tcPr>
          <w:p w14:paraId="19FAAEF8" w14:textId="3880B40A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</w:tr>
      <w:tr w:rsidR="00B917B3" w14:paraId="21DEA403" w14:textId="77777777" w:rsidTr="00450B7D">
        <w:trPr>
          <w:trHeight w:val="75"/>
          <w:jc w:val="center"/>
        </w:trPr>
        <w:tc>
          <w:tcPr>
            <w:tcW w:w="1696" w:type="dxa"/>
            <w:shd w:val="clear" w:color="auto" w:fill="00B050"/>
          </w:tcPr>
          <w:p w14:paraId="2CD81F67" w14:textId="77777777" w:rsidR="00B917B3" w:rsidRDefault="00B917B3" w:rsidP="00B917B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Public </w:t>
            </w:r>
          </w:p>
        </w:tc>
        <w:tc>
          <w:tcPr>
            <w:tcW w:w="1342" w:type="dxa"/>
          </w:tcPr>
          <w:p w14:paraId="7A398150" w14:textId="7CF3967D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0B22E489" w14:textId="1B8F8635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54A602A8" w14:textId="74D3D10D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7FC0CB48" w14:textId="1B8D5740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22438AB6" w14:textId="750C223F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20" w:type="dxa"/>
          </w:tcPr>
          <w:p w14:paraId="142D1DD8" w14:textId="3C1E264E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</w:tr>
      <w:tr w:rsidR="00B917B3" w14:paraId="5056C628" w14:textId="77777777" w:rsidTr="00450B7D">
        <w:trPr>
          <w:trHeight w:val="75"/>
          <w:jc w:val="center"/>
        </w:trPr>
        <w:tc>
          <w:tcPr>
            <w:tcW w:w="1696" w:type="dxa"/>
            <w:shd w:val="clear" w:color="auto" w:fill="4472C4" w:themeFill="accent1"/>
          </w:tcPr>
          <w:p w14:paraId="7546D7EF" w14:textId="77777777" w:rsidR="00B917B3" w:rsidRDefault="00B917B3" w:rsidP="00B917B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General </w:t>
            </w:r>
          </w:p>
        </w:tc>
        <w:tc>
          <w:tcPr>
            <w:tcW w:w="1342" w:type="dxa"/>
          </w:tcPr>
          <w:p w14:paraId="39D6EBA7" w14:textId="05861822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051B3B04" w14:textId="19E2F077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00B3B7AA" w14:textId="30A24A3B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09999282" w14:textId="2851C123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63963CF9" w14:textId="7ECC580D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20" w:type="dxa"/>
          </w:tcPr>
          <w:p w14:paraId="15AE0732" w14:textId="647EC72F" w:rsidR="00B917B3" w:rsidRDefault="00B917B3" w:rsidP="00B917B3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</w:tr>
      <w:tr w:rsidR="00986618" w14:paraId="3174684C" w14:textId="77777777" w:rsidTr="00E24223">
        <w:trPr>
          <w:trHeight w:val="75"/>
          <w:jc w:val="center"/>
        </w:trPr>
        <w:tc>
          <w:tcPr>
            <w:tcW w:w="1696" w:type="dxa"/>
            <w:shd w:val="clear" w:color="auto" w:fill="FFC000"/>
          </w:tcPr>
          <w:p w14:paraId="2BFCC0D4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/ Recipients Only </w:t>
            </w:r>
          </w:p>
        </w:tc>
        <w:tc>
          <w:tcPr>
            <w:tcW w:w="1342" w:type="dxa"/>
            <w:vAlign w:val="center"/>
          </w:tcPr>
          <w:p w14:paraId="1A7E45C2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7946D48D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2D552474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36643A1A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3E15C79E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20" w:type="dxa"/>
            <w:vAlign w:val="center"/>
          </w:tcPr>
          <w:p w14:paraId="6497DFDF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</w:tr>
      <w:tr w:rsidR="00986618" w14:paraId="3AB692FC" w14:textId="77777777" w:rsidTr="00E24223">
        <w:trPr>
          <w:trHeight w:val="334"/>
          <w:jc w:val="center"/>
        </w:trPr>
        <w:tc>
          <w:tcPr>
            <w:tcW w:w="1696" w:type="dxa"/>
            <w:shd w:val="clear" w:color="auto" w:fill="FFC000"/>
          </w:tcPr>
          <w:p w14:paraId="59D1EFDE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/ </w:t>
            </w:r>
            <w:proofErr w:type="gramStart"/>
            <w:r w:rsidR="00245D5E">
              <w:rPr>
                <w:sz w:val="16"/>
                <w:szCs w:val="16"/>
              </w:rPr>
              <w:t xml:space="preserve">Contoso </w:t>
            </w:r>
            <w:r>
              <w:rPr>
                <w:sz w:val="16"/>
                <w:szCs w:val="16"/>
              </w:rPr>
              <w:t xml:space="preserve"> Executives</w:t>
            </w:r>
            <w:proofErr w:type="gramEnd"/>
            <w:r>
              <w:rPr>
                <w:sz w:val="16"/>
                <w:szCs w:val="16"/>
              </w:rPr>
              <w:t xml:space="preserve"> and Staff </w:t>
            </w:r>
          </w:p>
        </w:tc>
        <w:tc>
          <w:tcPr>
            <w:tcW w:w="1342" w:type="dxa"/>
            <w:vAlign w:val="center"/>
          </w:tcPr>
          <w:p w14:paraId="65EC03B1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</w:t>
            </w:r>
            <w:proofErr w:type="spellStart"/>
            <w:r>
              <w:rPr>
                <w:sz w:val="16"/>
                <w:szCs w:val="16"/>
              </w:rPr>
              <w:t>exstaff</w:t>
            </w:r>
            <w:proofErr w:type="spellEnd"/>
            <w:r>
              <w:rPr>
                <w:sz w:val="16"/>
                <w:szCs w:val="16"/>
              </w:rPr>
              <w:t xml:space="preserve"> + </w:t>
            </w:r>
            <w:proofErr w:type="spellStart"/>
            <w:r>
              <w:rPr>
                <w:sz w:val="16"/>
                <w:szCs w:val="16"/>
              </w:rPr>
              <w:t>execdir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19" w:type="dxa"/>
            <w:vAlign w:val="center"/>
          </w:tcPr>
          <w:p w14:paraId="2A569AA8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</w:t>
            </w:r>
            <w:proofErr w:type="spellStart"/>
            <w:r>
              <w:rPr>
                <w:sz w:val="16"/>
                <w:szCs w:val="16"/>
              </w:rPr>
              <w:t>exstaff</w:t>
            </w:r>
            <w:proofErr w:type="spellEnd"/>
            <w:r>
              <w:rPr>
                <w:sz w:val="16"/>
                <w:szCs w:val="16"/>
              </w:rPr>
              <w:t xml:space="preserve"> + </w:t>
            </w:r>
            <w:proofErr w:type="spellStart"/>
            <w:r>
              <w:rPr>
                <w:sz w:val="16"/>
                <w:szCs w:val="16"/>
              </w:rPr>
              <w:t>execdir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19" w:type="dxa"/>
            <w:vAlign w:val="center"/>
          </w:tcPr>
          <w:p w14:paraId="5777F473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</w:t>
            </w:r>
            <w:proofErr w:type="spellStart"/>
            <w:r>
              <w:rPr>
                <w:sz w:val="16"/>
                <w:szCs w:val="16"/>
              </w:rPr>
              <w:t>exstaff</w:t>
            </w:r>
            <w:proofErr w:type="spellEnd"/>
            <w:r>
              <w:rPr>
                <w:sz w:val="16"/>
                <w:szCs w:val="16"/>
              </w:rPr>
              <w:t xml:space="preserve"> + </w:t>
            </w:r>
            <w:proofErr w:type="spellStart"/>
            <w:r>
              <w:rPr>
                <w:sz w:val="16"/>
                <w:szCs w:val="16"/>
              </w:rPr>
              <w:t>execdir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19" w:type="dxa"/>
            <w:vAlign w:val="center"/>
          </w:tcPr>
          <w:p w14:paraId="2FE9BC51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</w:t>
            </w:r>
            <w:proofErr w:type="spellStart"/>
            <w:r>
              <w:rPr>
                <w:sz w:val="16"/>
                <w:szCs w:val="16"/>
              </w:rPr>
              <w:t>exstaff</w:t>
            </w:r>
            <w:proofErr w:type="spellEnd"/>
            <w:r>
              <w:rPr>
                <w:sz w:val="16"/>
                <w:szCs w:val="16"/>
              </w:rPr>
              <w:t xml:space="preserve"> + </w:t>
            </w:r>
            <w:proofErr w:type="spellStart"/>
            <w:r>
              <w:rPr>
                <w:sz w:val="16"/>
                <w:szCs w:val="16"/>
              </w:rPr>
              <w:t>execdir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19" w:type="dxa"/>
            <w:vAlign w:val="center"/>
          </w:tcPr>
          <w:p w14:paraId="34EA2F6A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</w:t>
            </w:r>
            <w:proofErr w:type="spellStart"/>
            <w:r>
              <w:rPr>
                <w:sz w:val="16"/>
                <w:szCs w:val="16"/>
              </w:rPr>
              <w:t>exstaff</w:t>
            </w:r>
            <w:proofErr w:type="spellEnd"/>
            <w:r>
              <w:rPr>
                <w:sz w:val="16"/>
                <w:szCs w:val="16"/>
              </w:rPr>
              <w:t xml:space="preserve"> + </w:t>
            </w:r>
            <w:proofErr w:type="spellStart"/>
            <w:r>
              <w:rPr>
                <w:sz w:val="16"/>
                <w:szCs w:val="16"/>
              </w:rPr>
              <w:t>execdir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20" w:type="dxa"/>
            <w:vAlign w:val="center"/>
          </w:tcPr>
          <w:p w14:paraId="1729D3FF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(only members of </w:t>
            </w:r>
            <w:proofErr w:type="spellStart"/>
            <w:r>
              <w:rPr>
                <w:sz w:val="16"/>
                <w:szCs w:val="16"/>
              </w:rPr>
              <w:t>exstaff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986618" w14:paraId="3C73F09C" w14:textId="77777777" w:rsidTr="00E24223">
        <w:trPr>
          <w:trHeight w:val="189"/>
          <w:jc w:val="center"/>
        </w:trPr>
        <w:tc>
          <w:tcPr>
            <w:tcW w:w="1696" w:type="dxa"/>
            <w:shd w:val="clear" w:color="auto" w:fill="FFC000"/>
          </w:tcPr>
          <w:p w14:paraId="0931B3FA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/ </w:t>
            </w:r>
            <w:proofErr w:type="gramStart"/>
            <w:r w:rsidR="00245D5E">
              <w:rPr>
                <w:sz w:val="16"/>
                <w:szCs w:val="16"/>
              </w:rPr>
              <w:t xml:space="preserve">Contoso </w:t>
            </w:r>
            <w:r>
              <w:rPr>
                <w:sz w:val="16"/>
                <w:szCs w:val="16"/>
              </w:rPr>
              <w:t xml:space="preserve"> FTE</w:t>
            </w:r>
            <w:proofErr w:type="gramEnd"/>
            <w:r>
              <w:rPr>
                <w:sz w:val="16"/>
                <w:szCs w:val="16"/>
              </w:rPr>
              <w:t xml:space="preserve"> Only </w:t>
            </w:r>
          </w:p>
        </w:tc>
        <w:tc>
          <w:tcPr>
            <w:tcW w:w="1342" w:type="dxa"/>
            <w:vAlign w:val="center"/>
          </w:tcPr>
          <w:p w14:paraId="52D23CE9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(Only FTE)</w:t>
            </w:r>
          </w:p>
        </w:tc>
        <w:tc>
          <w:tcPr>
            <w:tcW w:w="1519" w:type="dxa"/>
            <w:vAlign w:val="center"/>
          </w:tcPr>
          <w:p w14:paraId="66778E3C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(Only FTE)</w:t>
            </w:r>
          </w:p>
        </w:tc>
        <w:tc>
          <w:tcPr>
            <w:tcW w:w="1519" w:type="dxa"/>
            <w:vAlign w:val="center"/>
          </w:tcPr>
          <w:p w14:paraId="13987A9A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(Only FTE)</w:t>
            </w:r>
          </w:p>
        </w:tc>
        <w:tc>
          <w:tcPr>
            <w:tcW w:w="1519" w:type="dxa"/>
            <w:vAlign w:val="center"/>
          </w:tcPr>
          <w:p w14:paraId="5BA42183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(Only FTE)</w:t>
            </w:r>
          </w:p>
        </w:tc>
        <w:tc>
          <w:tcPr>
            <w:tcW w:w="1519" w:type="dxa"/>
            <w:vAlign w:val="center"/>
          </w:tcPr>
          <w:p w14:paraId="42A687F0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(Only FTE)</w:t>
            </w:r>
          </w:p>
        </w:tc>
        <w:tc>
          <w:tcPr>
            <w:tcW w:w="1520" w:type="dxa"/>
            <w:vAlign w:val="center"/>
          </w:tcPr>
          <w:p w14:paraId="09B9EADE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(only MS FTE)</w:t>
            </w:r>
          </w:p>
        </w:tc>
      </w:tr>
      <w:tr w:rsidR="00986618" w14:paraId="13B0E999" w14:textId="77777777" w:rsidTr="00E24223">
        <w:trPr>
          <w:trHeight w:val="235"/>
          <w:jc w:val="center"/>
        </w:trPr>
        <w:tc>
          <w:tcPr>
            <w:tcW w:w="1696" w:type="dxa"/>
            <w:shd w:val="clear" w:color="auto" w:fill="FFC000"/>
          </w:tcPr>
          <w:p w14:paraId="46E25FB9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/ </w:t>
            </w:r>
            <w:proofErr w:type="gramStart"/>
            <w:r w:rsidR="00245D5E">
              <w:rPr>
                <w:sz w:val="16"/>
                <w:szCs w:val="16"/>
              </w:rPr>
              <w:t xml:space="preserve">Contoso </w:t>
            </w:r>
            <w:r>
              <w:rPr>
                <w:sz w:val="16"/>
                <w:szCs w:val="16"/>
              </w:rPr>
              <w:t xml:space="preserve"> Extended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757F07E2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(FTE + </w:t>
            </w:r>
            <w:proofErr w:type="gramStart"/>
            <w:r>
              <w:rPr>
                <w:sz w:val="16"/>
                <w:szCs w:val="16"/>
              </w:rPr>
              <w:t>non FTE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19" w:type="dxa"/>
            <w:vAlign w:val="center"/>
          </w:tcPr>
          <w:p w14:paraId="255E547A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(FTE + </w:t>
            </w:r>
            <w:proofErr w:type="gramStart"/>
            <w:r>
              <w:rPr>
                <w:sz w:val="16"/>
                <w:szCs w:val="16"/>
              </w:rPr>
              <w:t>non FTE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19" w:type="dxa"/>
            <w:vAlign w:val="center"/>
          </w:tcPr>
          <w:p w14:paraId="2EDB8B09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(FTE + </w:t>
            </w:r>
            <w:proofErr w:type="gramStart"/>
            <w:r>
              <w:rPr>
                <w:sz w:val="16"/>
                <w:szCs w:val="16"/>
              </w:rPr>
              <w:t>non FTE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19" w:type="dxa"/>
            <w:vAlign w:val="center"/>
          </w:tcPr>
          <w:p w14:paraId="3771B362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(FTE + </w:t>
            </w:r>
            <w:proofErr w:type="gramStart"/>
            <w:r>
              <w:rPr>
                <w:sz w:val="16"/>
                <w:szCs w:val="16"/>
              </w:rPr>
              <w:t>non FTE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19" w:type="dxa"/>
            <w:vAlign w:val="center"/>
          </w:tcPr>
          <w:p w14:paraId="1FFB8BA6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(FTE + </w:t>
            </w:r>
            <w:proofErr w:type="gramStart"/>
            <w:r>
              <w:rPr>
                <w:sz w:val="16"/>
                <w:szCs w:val="16"/>
              </w:rPr>
              <w:t>non FTE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20" w:type="dxa"/>
            <w:vAlign w:val="center"/>
          </w:tcPr>
          <w:p w14:paraId="10291901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(only MS FTE)</w:t>
            </w:r>
          </w:p>
        </w:tc>
      </w:tr>
      <w:tr w:rsidR="00CC7755" w14:paraId="08ED544B" w14:textId="77777777" w:rsidTr="00601FD7">
        <w:trPr>
          <w:trHeight w:val="189"/>
          <w:jc w:val="center"/>
        </w:trPr>
        <w:tc>
          <w:tcPr>
            <w:tcW w:w="1696" w:type="dxa"/>
            <w:shd w:val="clear" w:color="auto" w:fill="FFC000"/>
          </w:tcPr>
          <w:p w14:paraId="04FE48D6" w14:textId="4B7303DF" w:rsidR="00CC7755" w:rsidRDefault="00CC7755" w:rsidP="00CC775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/ </w:t>
            </w:r>
            <w:r w:rsidR="00D75EC4">
              <w:rPr>
                <w:sz w:val="16"/>
                <w:szCs w:val="16"/>
              </w:rPr>
              <w:t>Any User (</w:t>
            </w:r>
            <w:r w:rsidR="00FE3FB3">
              <w:rPr>
                <w:sz w:val="16"/>
                <w:szCs w:val="16"/>
              </w:rPr>
              <w:t>Audited – Not Encrypted</w:t>
            </w:r>
            <w:r w:rsidR="00D75EC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342" w:type="dxa"/>
          </w:tcPr>
          <w:p w14:paraId="2A3CDA56" w14:textId="05CF506E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7B90EF9A" w14:textId="150F19D0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0244E966" w14:textId="55FFCBEB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28BAAAAC" w14:textId="7552D06B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1C32604E" w14:textId="35C67CCE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20" w:type="dxa"/>
          </w:tcPr>
          <w:p w14:paraId="53A55651" w14:textId="3C9F5F53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</w:tr>
      <w:tr w:rsidR="00986618" w14:paraId="55163AAA" w14:textId="77777777" w:rsidTr="00E24223">
        <w:trPr>
          <w:trHeight w:val="188"/>
          <w:jc w:val="center"/>
        </w:trPr>
        <w:tc>
          <w:tcPr>
            <w:tcW w:w="1696" w:type="dxa"/>
            <w:shd w:val="clear" w:color="auto" w:fill="FF0000"/>
          </w:tcPr>
          <w:p w14:paraId="13C7862F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Highly Confidential / Recipients Only </w:t>
            </w:r>
          </w:p>
        </w:tc>
        <w:tc>
          <w:tcPr>
            <w:tcW w:w="1342" w:type="dxa"/>
            <w:vAlign w:val="center"/>
          </w:tcPr>
          <w:p w14:paraId="687370BE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2FB927A7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6D330A75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5A250DB5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5A8BC579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20" w:type="dxa"/>
            <w:vAlign w:val="center"/>
          </w:tcPr>
          <w:p w14:paraId="3F23A24D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</w:tr>
      <w:tr w:rsidR="00986618" w14:paraId="63445099" w14:textId="77777777" w:rsidTr="00E24223">
        <w:trPr>
          <w:trHeight w:val="188"/>
          <w:jc w:val="center"/>
        </w:trPr>
        <w:tc>
          <w:tcPr>
            <w:tcW w:w="1696" w:type="dxa"/>
            <w:shd w:val="clear" w:color="auto" w:fill="FF0000"/>
          </w:tcPr>
          <w:p w14:paraId="50D56BAA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Highly Confidential / </w:t>
            </w:r>
            <w:proofErr w:type="gramStart"/>
            <w:r w:rsidR="00245D5E">
              <w:rPr>
                <w:sz w:val="16"/>
                <w:szCs w:val="16"/>
              </w:rPr>
              <w:t xml:space="preserve">Contoso </w:t>
            </w:r>
            <w:r>
              <w:rPr>
                <w:sz w:val="16"/>
                <w:szCs w:val="16"/>
              </w:rPr>
              <w:t xml:space="preserve"> Executives</w:t>
            </w:r>
            <w:proofErr w:type="gramEnd"/>
            <w:r>
              <w:rPr>
                <w:sz w:val="16"/>
                <w:szCs w:val="16"/>
              </w:rPr>
              <w:t xml:space="preserve"> and Staff </w:t>
            </w:r>
          </w:p>
        </w:tc>
        <w:tc>
          <w:tcPr>
            <w:tcW w:w="1342" w:type="dxa"/>
            <w:vAlign w:val="center"/>
          </w:tcPr>
          <w:p w14:paraId="269045C8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07D1C826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15F82004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6AF0F47F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38E08B12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20" w:type="dxa"/>
            <w:vAlign w:val="center"/>
          </w:tcPr>
          <w:p w14:paraId="194410C7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</w:tr>
      <w:tr w:rsidR="00986618" w14:paraId="0E1C672A" w14:textId="77777777" w:rsidTr="00E24223">
        <w:trPr>
          <w:trHeight w:val="189"/>
          <w:jc w:val="center"/>
        </w:trPr>
        <w:tc>
          <w:tcPr>
            <w:tcW w:w="1696" w:type="dxa"/>
            <w:shd w:val="clear" w:color="auto" w:fill="FF0000"/>
          </w:tcPr>
          <w:p w14:paraId="4ED4E129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Highly Confidential / </w:t>
            </w:r>
            <w:proofErr w:type="gramStart"/>
            <w:r w:rsidR="00245D5E">
              <w:rPr>
                <w:sz w:val="16"/>
                <w:szCs w:val="16"/>
              </w:rPr>
              <w:t xml:space="preserve">Contoso </w:t>
            </w:r>
            <w:r>
              <w:rPr>
                <w:sz w:val="16"/>
                <w:szCs w:val="16"/>
              </w:rPr>
              <w:t xml:space="preserve"> FTE</w:t>
            </w:r>
            <w:proofErr w:type="gramEnd"/>
            <w:r>
              <w:rPr>
                <w:sz w:val="16"/>
                <w:szCs w:val="16"/>
              </w:rPr>
              <w:t xml:space="preserve"> Only </w:t>
            </w:r>
          </w:p>
        </w:tc>
        <w:tc>
          <w:tcPr>
            <w:tcW w:w="1342" w:type="dxa"/>
            <w:vAlign w:val="center"/>
          </w:tcPr>
          <w:p w14:paraId="57CECB18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33523275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73668B11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3FF1FFD7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41F0ADE7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20" w:type="dxa"/>
            <w:vAlign w:val="center"/>
          </w:tcPr>
          <w:p w14:paraId="494C45BE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</w:tr>
      <w:tr w:rsidR="00986618" w14:paraId="355ACC6D" w14:textId="77777777" w:rsidTr="00E24223">
        <w:trPr>
          <w:trHeight w:val="188"/>
          <w:jc w:val="center"/>
        </w:trPr>
        <w:tc>
          <w:tcPr>
            <w:tcW w:w="1696" w:type="dxa"/>
            <w:shd w:val="clear" w:color="auto" w:fill="FF0000"/>
          </w:tcPr>
          <w:p w14:paraId="72AE6144" w14:textId="77777777" w:rsidR="00986618" w:rsidRDefault="0098661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Highly Confidential / </w:t>
            </w:r>
            <w:proofErr w:type="gramStart"/>
            <w:r w:rsidR="00245D5E">
              <w:rPr>
                <w:sz w:val="16"/>
                <w:szCs w:val="16"/>
              </w:rPr>
              <w:t xml:space="preserve">Contoso </w:t>
            </w:r>
            <w:r>
              <w:rPr>
                <w:sz w:val="16"/>
                <w:szCs w:val="16"/>
              </w:rPr>
              <w:t xml:space="preserve"> Extended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26D65196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07049FEB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5777A53B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19" w:type="dxa"/>
            <w:vAlign w:val="center"/>
          </w:tcPr>
          <w:p w14:paraId="240A9E61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  <w:tc>
          <w:tcPr>
            <w:tcW w:w="1519" w:type="dxa"/>
            <w:vAlign w:val="center"/>
          </w:tcPr>
          <w:p w14:paraId="466AAFD4" w14:textId="77777777" w:rsidR="00986618" w:rsidRDefault="00986618" w:rsidP="00E24223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20" w:type="dxa"/>
            <w:vAlign w:val="center"/>
          </w:tcPr>
          <w:p w14:paraId="05E82186" w14:textId="77777777" w:rsidR="00986618" w:rsidRPr="00521250" w:rsidRDefault="00986618" w:rsidP="00E24223">
            <w:pPr>
              <w:pStyle w:val="Default"/>
              <w:jc w:val="center"/>
              <w:rPr>
                <w:color w:val="FF0000"/>
                <w:sz w:val="16"/>
                <w:szCs w:val="16"/>
              </w:rPr>
            </w:pPr>
            <w:r w:rsidRPr="00521250">
              <w:rPr>
                <w:color w:val="FF0000"/>
                <w:sz w:val="16"/>
                <w:szCs w:val="16"/>
              </w:rPr>
              <w:t>No</w:t>
            </w:r>
          </w:p>
        </w:tc>
      </w:tr>
      <w:tr w:rsidR="00CC7755" w14:paraId="47FABB30" w14:textId="77777777" w:rsidTr="00C564BE">
        <w:trPr>
          <w:trHeight w:val="188"/>
          <w:jc w:val="center"/>
        </w:trPr>
        <w:tc>
          <w:tcPr>
            <w:tcW w:w="1696" w:type="dxa"/>
            <w:shd w:val="clear" w:color="auto" w:fill="FF0000"/>
          </w:tcPr>
          <w:p w14:paraId="776134A8" w14:textId="5BFB0555" w:rsidR="00CC7755" w:rsidRDefault="00CC7755" w:rsidP="00CC775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Highly Confidential / Any User </w:t>
            </w:r>
            <w:r w:rsidR="00D75EC4">
              <w:rPr>
                <w:sz w:val="16"/>
                <w:szCs w:val="16"/>
              </w:rPr>
              <w:t>(Audited – Not Encrypted)</w:t>
            </w:r>
          </w:p>
        </w:tc>
        <w:tc>
          <w:tcPr>
            <w:tcW w:w="1342" w:type="dxa"/>
          </w:tcPr>
          <w:p w14:paraId="672E00AC" w14:textId="0C59C254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6ADCB933" w14:textId="66F1CFB4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30B9B6E4" w14:textId="31B25BE0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5FAA08E4" w14:textId="74D5EF9E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19" w:type="dxa"/>
          </w:tcPr>
          <w:p w14:paraId="1923F849" w14:textId="6534C0D9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  <w:tc>
          <w:tcPr>
            <w:tcW w:w="1520" w:type="dxa"/>
          </w:tcPr>
          <w:p w14:paraId="13F8B9C0" w14:textId="62F0ADEA" w:rsidR="00CC7755" w:rsidRDefault="00CC7755" w:rsidP="00CC7755">
            <w:pPr>
              <w:pStyle w:val="Default"/>
              <w:jc w:val="center"/>
              <w:rPr>
                <w:sz w:val="16"/>
                <w:szCs w:val="16"/>
              </w:rPr>
            </w:pPr>
            <w:r w:rsidRPr="005E3C64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</w:t>
            </w:r>
            <w:r w:rsidRPr="005E3C64">
              <w:rPr>
                <w:sz w:val="16"/>
                <w:szCs w:val="16"/>
              </w:rPr>
              <w:t>A</w:t>
            </w:r>
          </w:p>
        </w:tc>
      </w:tr>
    </w:tbl>
    <w:p w14:paraId="78EC025E" w14:textId="7D1FA428" w:rsidR="00E66BEC" w:rsidRDefault="00E66BEC" w:rsidP="00986618"/>
    <w:p w14:paraId="41E997D4" w14:textId="6F306B37" w:rsidR="00174CB5" w:rsidRDefault="00174CB5" w:rsidP="00986618">
      <w:r>
        <w:t>N/A = No encryption.</w:t>
      </w:r>
      <w:bookmarkStart w:id="1" w:name="_GoBack"/>
      <w:bookmarkEnd w:id="1"/>
    </w:p>
    <w:p w14:paraId="1123B980" w14:textId="77777777" w:rsidR="00986618" w:rsidRDefault="00986618">
      <w:r>
        <w:br w:type="page"/>
      </w:r>
    </w:p>
    <w:p w14:paraId="229025F7" w14:textId="77777777" w:rsidR="00521250" w:rsidRDefault="00521250" w:rsidP="005212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4472C4" w:themeColor="accent1"/>
          <w:sz w:val="23"/>
          <w:szCs w:val="23"/>
        </w:rPr>
      </w:pPr>
      <w:r w:rsidRPr="00521250">
        <w:rPr>
          <w:rFonts w:ascii="Segoe UI" w:hAnsi="Segoe UI" w:cs="Segoe UI"/>
          <w:b/>
          <w:bCs/>
          <w:color w:val="4472C4" w:themeColor="accent1"/>
          <w:sz w:val="23"/>
          <w:szCs w:val="23"/>
        </w:rPr>
        <w:lastRenderedPageBreak/>
        <w:t xml:space="preserve">Use cases for each label </w:t>
      </w:r>
    </w:p>
    <w:p w14:paraId="0F0D2CA1" w14:textId="77777777" w:rsidR="00521250" w:rsidRPr="00521250" w:rsidRDefault="00521250" w:rsidP="005212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4472C4" w:themeColor="accent1"/>
          <w:sz w:val="23"/>
          <w:szCs w:val="23"/>
        </w:rPr>
      </w:pPr>
    </w:p>
    <w:p w14:paraId="0775E34D" w14:textId="77777777" w:rsidR="00521250" w:rsidRDefault="00521250" w:rsidP="005212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21250">
        <w:rPr>
          <w:rFonts w:ascii="Segoe UI" w:hAnsi="Segoe UI" w:cs="Segoe UI"/>
          <w:color w:val="000000"/>
          <w:sz w:val="20"/>
          <w:szCs w:val="20"/>
        </w:rPr>
        <w:t xml:space="preserve">The section calls out some common use cases for using the different labels &amp; sub-labels. </w:t>
      </w:r>
    </w:p>
    <w:p w14:paraId="509DA709" w14:textId="77777777" w:rsidR="00521250" w:rsidRPr="00521250" w:rsidRDefault="00521250" w:rsidP="005212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B1DE899" w14:textId="77777777" w:rsidR="00521250" w:rsidRDefault="00521250" w:rsidP="005212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21250">
        <w:rPr>
          <w:rFonts w:ascii="Segoe UI" w:hAnsi="Segoe UI" w:cs="Segoe UI"/>
          <w:b/>
          <w:bCs/>
          <w:color w:val="808080" w:themeColor="background1" w:themeShade="80"/>
          <w:sz w:val="20"/>
          <w:szCs w:val="20"/>
        </w:rPr>
        <w:t xml:space="preserve">Non-Business </w:t>
      </w:r>
      <w:proofErr w:type="spellStart"/>
      <w:r w:rsidRPr="00521250">
        <w:rPr>
          <w:rFonts w:ascii="Segoe UI" w:hAnsi="Segoe UI" w:cs="Segoe UI"/>
          <w:color w:val="000000"/>
          <w:sz w:val="20"/>
          <w:szCs w:val="20"/>
        </w:rPr>
        <w:t>Non-business</w:t>
      </w:r>
      <w:proofErr w:type="spellEnd"/>
      <w:r w:rsidRPr="00521250">
        <w:rPr>
          <w:rFonts w:ascii="Segoe UI" w:hAnsi="Segoe UI" w:cs="Segoe UI"/>
          <w:color w:val="000000"/>
          <w:sz w:val="20"/>
          <w:szCs w:val="20"/>
        </w:rPr>
        <w:t xml:space="preserve"> data which does not belong to </w:t>
      </w:r>
      <w:r w:rsidR="001D45D9">
        <w:rPr>
          <w:rFonts w:ascii="Segoe UI" w:hAnsi="Segoe UI" w:cs="Segoe UI"/>
          <w:color w:val="000000"/>
          <w:sz w:val="20"/>
          <w:szCs w:val="20"/>
        </w:rPr>
        <w:t>Contoso</w:t>
      </w:r>
      <w:r w:rsidRPr="00521250">
        <w:rPr>
          <w:rFonts w:ascii="Segoe UI" w:hAnsi="Segoe UI" w:cs="Segoe UI"/>
          <w:color w:val="000000"/>
          <w:sz w:val="20"/>
          <w:szCs w:val="20"/>
        </w:rPr>
        <w:t xml:space="preserve">. Data is not encrypted and cannot be tracked or revoked. Do not use Non-Business to classify any personal data which is collected by or which belongs to </w:t>
      </w:r>
      <w:r w:rsidR="001D45D9">
        <w:rPr>
          <w:rFonts w:ascii="Segoe UI" w:hAnsi="Segoe UI" w:cs="Segoe UI"/>
          <w:color w:val="000000"/>
          <w:sz w:val="20"/>
          <w:szCs w:val="20"/>
        </w:rPr>
        <w:t>Contoso</w:t>
      </w:r>
      <w:r w:rsidRPr="00521250">
        <w:rPr>
          <w:rFonts w:ascii="Segoe UI" w:hAnsi="Segoe UI" w:cs="Segoe UI"/>
          <w:color w:val="000000"/>
          <w:sz w:val="20"/>
          <w:szCs w:val="20"/>
        </w:rPr>
        <w:t xml:space="preserve">. Such content should be classified as either Confidential or Highly Confidential. Common examples include: </w:t>
      </w:r>
    </w:p>
    <w:p w14:paraId="557117BD" w14:textId="77777777" w:rsidR="00521250" w:rsidRPr="00521250" w:rsidRDefault="00521250" w:rsidP="005212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6EA8858C" w14:textId="77777777" w:rsidR="00521250" w:rsidRPr="00B62F68" w:rsidRDefault="00521250" w:rsidP="00521250">
      <w:pPr>
        <w:autoSpaceDE w:val="0"/>
        <w:autoSpaceDN w:val="0"/>
        <w:adjustRightInd w:val="0"/>
        <w:spacing w:after="49" w:line="240" w:lineRule="auto"/>
        <w:rPr>
          <w:rFonts w:ascii="Segoe UI" w:hAnsi="Segoe UI" w:cs="Segoe UI"/>
          <w:sz w:val="20"/>
          <w:szCs w:val="20"/>
        </w:rPr>
      </w:pPr>
      <w:r w:rsidRPr="00B62F68">
        <w:rPr>
          <w:rFonts w:ascii="Segoe UI" w:hAnsi="Segoe UI" w:cs="Segoe UI"/>
          <w:sz w:val="20"/>
          <w:szCs w:val="20"/>
        </w:rPr>
        <w:t xml:space="preserve">1. You are a writing an email (using your work PC) to a friend and share photos from your last vacation. </w:t>
      </w:r>
    </w:p>
    <w:p w14:paraId="52184E89" w14:textId="77777777" w:rsidR="00521250" w:rsidRPr="00B62F68" w:rsidRDefault="00521250" w:rsidP="00521250">
      <w:pPr>
        <w:autoSpaceDE w:val="0"/>
        <w:autoSpaceDN w:val="0"/>
        <w:adjustRightInd w:val="0"/>
        <w:spacing w:after="49" w:line="240" w:lineRule="auto"/>
        <w:rPr>
          <w:rFonts w:ascii="Segoe UI" w:hAnsi="Segoe UI" w:cs="Segoe UI"/>
          <w:sz w:val="20"/>
          <w:szCs w:val="20"/>
        </w:rPr>
      </w:pPr>
      <w:r w:rsidRPr="00B62F68">
        <w:rPr>
          <w:rFonts w:ascii="Segoe UI" w:hAnsi="Segoe UI" w:cs="Segoe UI"/>
          <w:sz w:val="20"/>
          <w:szCs w:val="20"/>
        </w:rPr>
        <w:t xml:space="preserve">2. You are planning a weekend getaway with your spouse and sharing the brochure over mail. </w:t>
      </w:r>
    </w:p>
    <w:p w14:paraId="0989AF38" w14:textId="77777777" w:rsidR="00521250" w:rsidRPr="00B62F68" w:rsidRDefault="00521250" w:rsidP="005212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62F68">
        <w:rPr>
          <w:rFonts w:ascii="Segoe UI" w:hAnsi="Segoe UI" w:cs="Segoe UI"/>
          <w:sz w:val="20"/>
          <w:szCs w:val="20"/>
        </w:rPr>
        <w:t xml:space="preserve">3. You are writing a mail requesting for updated car insurance rates </w:t>
      </w:r>
    </w:p>
    <w:p w14:paraId="0213BBD5" w14:textId="77777777" w:rsidR="00986618" w:rsidRDefault="00986618" w:rsidP="00986618">
      <w:pPr>
        <w:pStyle w:val="Default"/>
        <w:rPr>
          <w:sz w:val="14"/>
          <w:szCs w:val="14"/>
        </w:rPr>
      </w:pPr>
    </w:p>
    <w:p w14:paraId="4A198E9B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 w:rsidRPr="00521250">
        <w:rPr>
          <w:b/>
          <w:bCs/>
          <w:color w:val="00B050"/>
          <w:sz w:val="20"/>
          <w:szCs w:val="20"/>
        </w:rPr>
        <w:t xml:space="preserve">Public </w:t>
      </w:r>
      <w:r>
        <w:rPr>
          <w:color w:val="auto"/>
          <w:sz w:val="20"/>
          <w:szCs w:val="20"/>
        </w:rPr>
        <w:t xml:space="preserve">To be used for business data specifically prepared and approved for public consumption. </w:t>
      </w:r>
      <w:r>
        <w:rPr>
          <w:rFonts w:ascii="Calibri" w:hAnsi="Calibri" w:cs="Calibri"/>
          <w:color w:val="auto"/>
          <w:sz w:val="20"/>
          <w:szCs w:val="20"/>
        </w:rPr>
        <w:t xml:space="preserve">Data is not </w:t>
      </w:r>
      <w:proofErr w:type="gramStart"/>
      <w:r w:rsidR="001D45D9">
        <w:rPr>
          <w:rFonts w:ascii="Calibri" w:hAnsi="Calibri" w:cs="Calibri"/>
          <w:color w:val="auto"/>
          <w:sz w:val="20"/>
          <w:szCs w:val="20"/>
        </w:rPr>
        <w:t>Encrypted</w:t>
      </w:r>
      <w:proofErr w:type="gramEnd"/>
      <w:r>
        <w:rPr>
          <w:rFonts w:ascii="Calibri" w:hAnsi="Calibri" w:cs="Calibri"/>
          <w:color w:val="auto"/>
          <w:sz w:val="20"/>
          <w:szCs w:val="20"/>
        </w:rPr>
        <w:t xml:space="preserve"> and owners cannot track or revoke content using </w:t>
      </w:r>
      <w:r w:rsidR="001D45D9">
        <w:rPr>
          <w:rFonts w:ascii="Calibri" w:hAnsi="Calibri" w:cs="Calibri"/>
          <w:color w:val="auto"/>
          <w:sz w:val="20"/>
          <w:szCs w:val="20"/>
        </w:rPr>
        <w:t>AIP</w:t>
      </w:r>
      <w:r>
        <w:rPr>
          <w:rFonts w:ascii="Calibri" w:hAnsi="Calibri" w:cs="Calibri"/>
          <w:color w:val="auto"/>
          <w:sz w:val="20"/>
          <w:szCs w:val="20"/>
        </w:rPr>
        <w:t xml:space="preserve">. </w:t>
      </w:r>
      <w:r>
        <w:rPr>
          <w:color w:val="auto"/>
          <w:sz w:val="20"/>
          <w:szCs w:val="20"/>
        </w:rPr>
        <w:t xml:space="preserve">Common examples include: </w:t>
      </w:r>
    </w:p>
    <w:p w14:paraId="51809AF0" w14:textId="77777777" w:rsidR="00521250" w:rsidRDefault="00521250" w:rsidP="00986618">
      <w:pPr>
        <w:pStyle w:val="Default"/>
        <w:rPr>
          <w:color w:val="auto"/>
          <w:sz w:val="20"/>
          <w:szCs w:val="20"/>
        </w:rPr>
      </w:pPr>
    </w:p>
    <w:p w14:paraId="4DC4D6BB" w14:textId="77777777" w:rsidR="00986618" w:rsidRDefault="00986618" w:rsidP="00986618">
      <w:pPr>
        <w:pStyle w:val="Default"/>
        <w:spacing w:after="47"/>
        <w:rPr>
          <w:color w:val="auto"/>
          <w:sz w:val="20"/>
          <w:szCs w:val="20"/>
        </w:rPr>
      </w:pPr>
      <w:r w:rsidRPr="00B62F68">
        <w:rPr>
          <w:color w:val="auto"/>
          <w:sz w:val="20"/>
          <w:szCs w:val="20"/>
        </w:rPr>
        <w:t xml:space="preserve">1. </w:t>
      </w:r>
      <w:r>
        <w:rPr>
          <w:color w:val="auto"/>
          <w:sz w:val="20"/>
          <w:szCs w:val="20"/>
        </w:rPr>
        <w:t xml:space="preserve">Responding to a customer for an in-market product query </w:t>
      </w:r>
    </w:p>
    <w:p w14:paraId="136EB335" w14:textId="77777777" w:rsidR="00986618" w:rsidRDefault="00986618" w:rsidP="00986618">
      <w:pPr>
        <w:pStyle w:val="Default"/>
        <w:spacing w:after="47"/>
        <w:rPr>
          <w:color w:val="auto"/>
          <w:sz w:val="20"/>
          <w:szCs w:val="20"/>
        </w:rPr>
      </w:pPr>
      <w:r w:rsidRPr="00B62F68">
        <w:rPr>
          <w:color w:val="auto"/>
          <w:sz w:val="20"/>
          <w:szCs w:val="20"/>
        </w:rPr>
        <w:t xml:space="preserve">2. </w:t>
      </w:r>
      <w:r>
        <w:rPr>
          <w:color w:val="auto"/>
          <w:sz w:val="20"/>
          <w:szCs w:val="20"/>
        </w:rPr>
        <w:t xml:space="preserve">Links to publicly available blog articles, marketing videos, forum links </w:t>
      </w:r>
    </w:p>
    <w:p w14:paraId="18DDA19E" w14:textId="77777777" w:rsidR="00986618" w:rsidRPr="00B62F68" w:rsidRDefault="00986618" w:rsidP="00986618">
      <w:pPr>
        <w:pStyle w:val="Default"/>
        <w:rPr>
          <w:color w:val="auto"/>
          <w:sz w:val="20"/>
          <w:szCs w:val="20"/>
        </w:rPr>
      </w:pPr>
      <w:r w:rsidRPr="00B62F68">
        <w:rPr>
          <w:color w:val="auto"/>
          <w:sz w:val="20"/>
          <w:szCs w:val="20"/>
        </w:rPr>
        <w:t xml:space="preserve">3. Sharing links to externally posted job links </w:t>
      </w:r>
    </w:p>
    <w:p w14:paraId="098DE811" w14:textId="77777777" w:rsidR="00986618" w:rsidRDefault="00986618" w:rsidP="00986618">
      <w:pPr>
        <w:pStyle w:val="Default"/>
        <w:rPr>
          <w:color w:val="auto"/>
          <w:sz w:val="18"/>
          <w:szCs w:val="18"/>
        </w:rPr>
      </w:pPr>
    </w:p>
    <w:p w14:paraId="240C9A76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 w:rsidRPr="00521250">
        <w:rPr>
          <w:b/>
          <w:bCs/>
          <w:color w:val="0070C0"/>
          <w:sz w:val="20"/>
          <w:szCs w:val="20"/>
        </w:rPr>
        <w:t xml:space="preserve">General </w:t>
      </w:r>
      <w:r>
        <w:rPr>
          <w:color w:val="auto"/>
          <w:sz w:val="20"/>
          <w:szCs w:val="20"/>
        </w:rPr>
        <w:t xml:space="preserve">To be used for business data which is </w:t>
      </w:r>
      <w:r>
        <w:rPr>
          <w:b/>
          <w:bCs/>
          <w:color w:val="auto"/>
          <w:sz w:val="20"/>
          <w:szCs w:val="20"/>
        </w:rPr>
        <w:t xml:space="preserve">NOT </w:t>
      </w:r>
      <w:r>
        <w:rPr>
          <w:color w:val="auto"/>
          <w:sz w:val="20"/>
          <w:szCs w:val="20"/>
        </w:rPr>
        <w:t xml:space="preserve">meant for public consumption. However, this can be shared with internal employees, business guests and external partners as needed. Data is not </w:t>
      </w:r>
      <w:proofErr w:type="gramStart"/>
      <w:r w:rsidR="001D45D9">
        <w:rPr>
          <w:color w:val="auto"/>
          <w:sz w:val="20"/>
          <w:szCs w:val="20"/>
        </w:rPr>
        <w:t>Encrypted</w:t>
      </w:r>
      <w:proofErr w:type="gramEnd"/>
      <w:r>
        <w:rPr>
          <w:color w:val="auto"/>
          <w:sz w:val="20"/>
          <w:szCs w:val="20"/>
        </w:rPr>
        <w:t xml:space="preserve"> and owners cannot track or revoke content using </w:t>
      </w:r>
      <w:r w:rsidR="001D45D9">
        <w:rPr>
          <w:color w:val="auto"/>
          <w:sz w:val="20"/>
          <w:szCs w:val="20"/>
        </w:rPr>
        <w:t>AIP</w:t>
      </w:r>
      <w:r>
        <w:rPr>
          <w:color w:val="auto"/>
          <w:sz w:val="20"/>
          <w:szCs w:val="20"/>
        </w:rPr>
        <w:t xml:space="preserve">. This is default label in </w:t>
      </w:r>
      <w:r w:rsidR="00245D5E">
        <w:rPr>
          <w:color w:val="auto"/>
          <w:sz w:val="20"/>
          <w:szCs w:val="20"/>
        </w:rPr>
        <w:t>Contoso</w:t>
      </w:r>
      <w:r>
        <w:rPr>
          <w:color w:val="auto"/>
          <w:sz w:val="20"/>
          <w:szCs w:val="20"/>
        </w:rPr>
        <w:t xml:space="preserve"> and common examples include: </w:t>
      </w:r>
    </w:p>
    <w:p w14:paraId="128E62E2" w14:textId="77777777" w:rsidR="00521250" w:rsidRDefault="00521250" w:rsidP="00986618">
      <w:pPr>
        <w:pStyle w:val="Default"/>
        <w:rPr>
          <w:color w:val="auto"/>
          <w:sz w:val="20"/>
          <w:szCs w:val="20"/>
        </w:rPr>
      </w:pPr>
    </w:p>
    <w:p w14:paraId="7B742C8C" w14:textId="77777777" w:rsidR="00986618" w:rsidRPr="00B62F68" w:rsidRDefault="00986618" w:rsidP="00986618">
      <w:pPr>
        <w:pStyle w:val="Default"/>
        <w:spacing w:after="49"/>
        <w:rPr>
          <w:color w:val="auto"/>
          <w:sz w:val="20"/>
          <w:szCs w:val="20"/>
        </w:rPr>
      </w:pPr>
      <w:r w:rsidRPr="00B62F68">
        <w:rPr>
          <w:color w:val="auto"/>
          <w:sz w:val="20"/>
          <w:szCs w:val="20"/>
        </w:rPr>
        <w:t xml:space="preserve">1. Newsletter for the organization </w:t>
      </w:r>
    </w:p>
    <w:p w14:paraId="32DDFCC2" w14:textId="77777777" w:rsidR="00986618" w:rsidRPr="00B62F68" w:rsidRDefault="00986618" w:rsidP="00986618">
      <w:pPr>
        <w:pStyle w:val="Default"/>
        <w:spacing w:after="49"/>
        <w:rPr>
          <w:color w:val="auto"/>
          <w:sz w:val="20"/>
          <w:szCs w:val="20"/>
        </w:rPr>
      </w:pPr>
      <w:r w:rsidRPr="00B62F68">
        <w:rPr>
          <w:color w:val="auto"/>
          <w:sz w:val="20"/>
          <w:szCs w:val="20"/>
        </w:rPr>
        <w:t xml:space="preserve">2. NEO training content or mail </w:t>
      </w:r>
    </w:p>
    <w:p w14:paraId="093668BC" w14:textId="77777777" w:rsidR="00986618" w:rsidRDefault="00986618" w:rsidP="00986618">
      <w:pPr>
        <w:pStyle w:val="Default"/>
        <w:spacing w:after="49"/>
        <w:rPr>
          <w:color w:val="auto"/>
          <w:sz w:val="20"/>
          <w:szCs w:val="20"/>
        </w:rPr>
      </w:pPr>
      <w:r w:rsidRPr="00B62F68">
        <w:rPr>
          <w:color w:val="auto"/>
          <w:sz w:val="20"/>
          <w:szCs w:val="20"/>
        </w:rPr>
        <w:t xml:space="preserve">3. </w:t>
      </w:r>
      <w:r>
        <w:rPr>
          <w:color w:val="auto"/>
          <w:sz w:val="20"/>
          <w:szCs w:val="20"/>
        </w:rPr>
        <w:t xml:space="preserve">Sharing any non-sensitive business content </w:t>
      </w:r>
    </w:p>
    <w:p w14:paraId="075CA800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</w:p>
    <w:p w14:paraId="08A5C838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</w:p>
    <w:p w14:paraId="5AFEB301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 w:rsidRPr="00521250">
        <w:rPr>
          <w:b/>
          <w:bCs/>
          <w:color w:val="FFC000"/>
          <w:sz w:val="20"/>
          <w:szCs w:val="20"/>
        </w:rPr>
        <w:t xml:space="preserve">Confidential </w:t>
      </w:r>
      <w:r>
        <w:rPr>
          <w:color w:val="auto"/>
          <w:sz w:val="20"/>
          <w:szCs w:val="20"/>
        </w:rPr>
        <w:t xml:space="preserve">To be used on sensitive business data which could cause business harm if over-shared. Recipients (see table above) are trusted and get full delegation rights (including the ability to remove the </w:t>
      </w:r>
      <w:r w:rsidR="001D45D9">
        <w:rPr>
          <w:color w:val="auto"/>
          <w:sz w:val="20"/>
          <w:szCs w:val="20"/>
        </w:rPr>
        <w:t>Encryption</w:t>
      </w:r>
      <w:r>
        <w:rPr>
          <w:color w:val="auto"/>
          <w:sz w:val="20"/>
          <w:szCs w:val="20"/>
        </w:rPr>
        <w:t xml:space="preserve">). Data is protected using </w:t>
      </w:r>
      <w:r w:rsidR="001D45D9">
        <w:rPr>
          <w:color w:val="auto"/>
          <w:sz w:val="20"/>
          <w:szCs w:val="20"/>
        </w:rPr>
        <w:t>AIP</w:t>
      </w:r>
      <w:r>
        <w:rPr>
          <w:color w:val="auto"/>
          <w:sz w:val="20"/>
          <w:szCs w:val="20"/>
        </w:rPr>
        <w:t xml:space="preserve"> and owners can track and revoke content. Common examples include: </w:t>
      </w:r>
    </w:p>
    <w:p w14:paraId="78262313" w14:textId="77777777" w:rsidR="00521250" w:rsidRDefault="00521250" w:rsidP="00986618">
      <w:pPr>
        <w:pStyle w:val="Default"/>
        <w:rPr>
          <w:color w:val="auto"/>
          <w:sz w:val="20"/>
          <w:szCs w:val="20"/>
        </w:rPr>
      </w:pPr>
    </w:p>
    <w:p w14:paraId="6A1C7773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1. A functional spec which can be viewed only by </w:t>
      </w:r>
      <w:proofErr w:type="gramStart"/>
      <w:r w:rsidR="00245D5E">
        <w:rPr>
          <w:color w:val="auto"/>
          <w:sz w:val="20"/>
          <w:szCs w:val="20"/>
        </w:rPr>
        <w:t xml:space="preserve">Contoso </w:t>
      </w:r>
      <w:r>
        <w:rPr>
          <w:color w:val="auto"/>
          <w:sz w:val="20"/>
          <w:szCs w:val="20"/>
        </w:rPr>
        <w:t xml:space="preserve"> FTEs</w:t>
      </w:r>
      <w:proofErr w:type="gramEnd"/>
    </w:p>
    <w:p w14:paraId="611F782D" w14:textId="77777777" w:rsidR="00986618" w:rsidRDefault="00986618" w:rsidP="00986618">
      <w:pPr>
        <w:pStyle w:val="Default"/>
        <w:spacing w:after="4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2. Marketing campaign development for a new product through an external ad firm </w:t>
      </w:r>
    </w:p>
    <w:p w14:paraId="0F524ACA" w14:textId="77777777" w:rsidR="00986618" w:rsidRDefault="00986618" w:rsidP="00986618">
      <w:pPr>
        <w:pStyle w:val="Default"/>
        <w:spacing w:after="4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3. A mail from </w:t>
      </w:r>
      <w:r w:rsidR="00245D5E">
        <w:rPr>
          <w:color w:val="auto"/>
          <w:sz w:val="20"/>
          <w:szCs w:val="20"/>
        </w:rPr>
        <w:t xml:space="preserve">Contoso </w:t>
      </w:r>
      <w:r>
        <w:rPr>
          <w:color w:val="auto"/>
          <w:sz w:val="20"/>
          <w:szCs w:val="20"/>
        </w:rPr>
        <w:t xml:space="preserve">'s SLT on new compliance guidance </w:t>
      </w:r>
    </w:p>
    <w:p w14:paraId="630BE532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</w:p>
    <w:p w14:paraId="5A64A9BF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</w:p>
    <w:p w14:paraId="62D0E485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 w:rsidRPr="00521250">
        <w:rPr>
          <w:b/>
          <w:bCs/>
          <w:color w:val="FF0000"/>
          <w:sz w:val="20"/>
          <w:szCs w:val="20"/>
        </w:rPr>
        <w:t xml:space="preserve">Highly Confidential </w:t>
      </w:r>
      <w:r>
        <w:rPr>
          <w:color w:val="auto"/>
          <w:sz w:val="20"/>
          <w:szCs w:val="20"/>
        </w:rPr>
        <w:t xml:space="preserve">To be used on very sensitive business data which would certainly cause business harm if over-shared. Recipients (see table above) do NOT get delegation rights (or rights to modify or remove the </w:t>
      </w:r>
      <w:r w:rsidR="001D45D9">
        <w:rPr>
          <w:color w:val="auto"/>
          <w:sz w:val="20"/>
          <w:szCs w:val="20"/>
        </w:rPr>
        <w:t>Encryption</w:t>
      </w:r>
      <w:r>
        <w:rPr>
          <w:color w:val="auto"/>
          <w:sz w:val="20"/>
          <w:szCs w:val="20"/>
        </w:rPr>
        <w:t xml:space="preserve">). Data is protected using </w:t>
      </w:r>
      <w:r w:rsidR="001D45D9">
        <w:rPr>
          <w:color w:val="auto"/>
          <w:sz w:val="20"/>
          <w:szCs w:val="20"/>
        </w:rPr>
        <w:t>AIP</w:t>
      </w:r>
      <w:r>
        <w:rPr>
          <w:color w:val="auto"/>
          <w:sz w:val="20"/>
          <w:szCs w:val="20"/>
        </w:rPr>
        <w:t xml:space="preserve"> and owners can track and revoke content. Common examples include: </w:t>
      </w:r>
    </w:p>
    <w:p w14:paraId="02DB9DE2" w14:textId="77777777" w:rsidR="00521250" w:rsidRDefault="00521250" w:rsidP="00986618">
      <w:pPr>
        <w:pStyle w:val="Default"/>
        <w:rPr>
          <w:color w:val="auto"/>
          <w:sz w:val="20"/>
          <w:szCs w:val="20"/>
        </w:rPr>
      </w:pPr>
    </w:p>
    <w:p w14:paraId="3E44993B" w14:textId="77777777" w:rsidR="00986618" w:rsidRDefault="00986618" w:rsidP="00986618">
      <w:pPr>
        <w:pStyle w:val="Default"/>
        <w:spacing w:after="4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1. Contact your HR with a sensitive concern </w:t>
      </w:r>
    </w:p>
    <w:p w14:paraId="68B733C4" w14:textId="77777777" w:rsidR="00986618" w:rsidRDefault="00986618" w:rsidP="00986618">
      <w:pPr>
        <w:pStyle w:val="Default"/>
        <w:spacing w:after="4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2. A mail from SLT on the upcoming quarterly performance and guidance </w:t>
      </w:r>
    </w:p>
    <w:p w14:paraId="5749D40C" w14:textId="77777777" w:rsidR="00986618" w:rsidRDefault="00986618" w:rsidP="00986618">
      <w:pPr>
        <w:pStyle w:val="Default"/>
        <w:spacing w:after="4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3. List of potential candidates for </w:t>
      </w:r>
      <w:proofErr w:type="spellStart"/>
      <w:r>
        <w:rPr>
          <w:color w:val="auto"/>
          <w:sz w:val="20"/>
          <w:szCs w:val="20"/>
        </w:rPr>
        <w:t>Cxx</w:t>
      </w:r>
      <w:proofErr w:type="spellEnd"/>
      <w:r>
        <w:rPr>
          <w:color w:val="auto"/>
          <w:sz w:val="20"/>
          <w:szCs w:val="20"/>
        </w:rPr>
        <w:t xml:space="preserve"> position to the board of directors </w:t>
      </w:r>
    </w:p>
    <w:p w14:paraId="4658B523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4. Sharing next-gen feature prep work which includes customer profile details </w:t>
      </w:r>
    </w:p>
    <w:p w14:paraId="5429E551" w14:textId="77777777" w:rsidR="00986618" w:rsidRDefault="00986618" w:rsidP="00986618">
      <w:pPr>
        <w:pStyle w:val="Default"/>
        <w:rPr>
          <w:color w:val="auto"/>
          <w:sz w:val="20"/>
          <w:szCs w:val="20"/>
        </w:rPr>
      </w:pPr>
    </w:p>
    <w:p w14:paraId="664F39F4" w14:textId="77777777" w:rsidR="00986618" w:rsidRPr="00521250" w:rsidRDefault="00986618" w:rsidP="00986618">
      <w:pPr>
        <w:pStyle w:val="Default"/>
        <w:rPr>
          <w:color w:val="4472C4" w:themeColor="accent1"/>
          <w:sz w:val="23"/>
          <w:szCs w:val="23"/>
        </w:rPr>
      </w:pPr>
      <w:r w:rsidRPr="00521250">
        <w:rPr>
          <w:b/>
          <w:bCs/>
          <w:color w:val="4472C4" w:themeColor="accent1"/>
          <w:sz w:val="23"/>
          <w:szCs w:val="23"/>
        </w:rPr>
        <w:t xml:space="preserve">Support </w:t>
      </w:r>
    </w:p>
    <w:p w14:paraId="086F2434" w14:textId="76EA93C1" w:rsidR="00986618" w:rsidRDefault="00986618" w:rsidP="00C14464">
      <w:pPr>
        <w:pStyle w:val="Default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 Contact global helpdesk from </w:t>
      </w:r>
      <w:hyperlink r:id="rId8" w:history="1">
        <w:r w:rsidR="00C14464" w:rsidRPr="00703496">
          <w:rPr>
            <w:rStyle w:val="Hyperlink"/>
            <w:rFonts w:ascii="Calibri" w:hAnsi="Calibri" w:cs="Calibri"/>
            <w:sz w:val="20"/>
            <w:szCs w:val="20"/>
          </w:rPr>
          <w:t>http://Link</w:t>
        </w:r>
      </w:hyperlink>
    </w:p>
    <w:p w14:paraId="378C72C0" w14:textId="2033448F" w:rsidR="00C14464" w:rsidRDefault="00C14464" w:rsidP="00C14464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p w14:paraId="69D9D5B9" w14:textId="64E907C0" w:rsidR="00C14464" w:rsidRDefault="00C14464" w:rsidP="00C14464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tbl>
      <w:tblPr>
        <w:tblpPr w:leftFromText="180" w:rightFromText="180" w:horzAnchor="margin" w:tblpY="-682"/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2"/>
        <w:gridCol w:w="2841"/>
        <w:gridCol w:w="114"/>
      </w:tblGrid>
      <w:tr w:rsidR="00C14464" w14:paraId="3371A28B" w14:textId="77777777" w:rsidTr="00044C0F">
        <w:trPr>
          <w:gridAfter w:val="1"/>
          <w:wAfter w:w="114" w:type="dxa"/>
          <w:trHeight w:val="15"/>
        </w:trPr>
        <w:tc>
          <w:tcPr>
            <w:tcW w:w="5682" w:type="dxa"/>
            <w:shd w:val="clear" w:color="auto" w:fill="0070C0"/>
            <w:vAlign w:val="center"/>
            <w:hideMark/>
          </w:tcPr>
          <w:p w14:paraId="2833CF8B" w14:textId="77777777" w:rsidR="00C14464" w:rsidRDefault="00C14464" w:rsidP="00044C0F">
            <w:pPr>
              <w:spacing w:line="256" w:lineRule="auto"/>
              <w:rPr>
                <w:rFonts w:ascii="Times New Roman" w:hAnsi="Times New Roman"/>
                <w:color w:val="C00000"/>
                <w:sz w:val="24"/>
              </w:rPr>
            </w:pPr>
            <w:r>
              <w:rPr>
                <w:rFonts w:cs="Segoe UI Light"/>
                <w:color w:val="FFFFFF" w:themeColor="background1"/>
                <w:sz w:val="52"/>
                <w:szCs w:val="52"/>
              </w:rPr>
              <w:lastRenderedPageBreak/>
              <w:t>Contoso Classification Examples</w:t>
            </w:r>
          </w:p>
        </w:tc>
        <w:tc>
          <w:tcPr>
            <w:tcW w:w="2841" w:type="dxa"/>
            <w:shd w:val="clear" w:color="auto" w:fill="0070C0"/>
            <w:vAlign w:val="center"/>
            <w:hideMark/>
          </w:tcPr>
          <w:p w14:paraId="66ADC529" w14:textId="77777777" w:rsidR="00C14464" w:rsidRDefault="00C14464" w:rsidP="00044C0F">
            <w:pPr>
              <w:spacing w:line="256" w:lineRule="auto"/>
              <w:rPr>
                <w:color w:val="C00000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65C57BE5" wp14:editId="642EF228">
                  <wp:extent cx="1414780" cy="8242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464" w14:paraId="196A060B" w14:textId="77777777" w:rsidTr="00044C0F">
        <w:trPr>
          <w:trHeight w:val="412"/>
        </w:trPr>
        <w:tc>
          <w:tcPr>
            <w:tcW w:w="8637" w:type="dxa"/>
            <w:gridSpan w:val="3"/>
            <w:vAlign w:val="center"/>
          </w:tcPr>
          <w:p w14:paraId="29757082" w14:textId="77777777" w:rsidR="00C14464" w:rsidRDefault="00C14464" w:rsidP="00044C0F">
            <w:pPr>
              <w:pStyle w:val="NormalWeb"/>
              <w:spacing w:line="256" w:lineRule="auto"/>
              <w:rPr>
                <w:rFonts w:ascii="Segoe UI" w:hAnsi="Segoe UI" w:cs="Segoe UI"/>
                <w:color w:val="515150"/>
                <w:sz w:val="20"/>
                <w:szCs w:val="20"/>
              </w:rPr>
            </w:pPr>
          </w:p>
        </w:tc>
      </w:tr>
    </w:tbl>
    <w:p w14:paraId="1F9F4BEB" w14:textId="77777777" w:rsidR="00C14464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b/>
          <w:color w:val="8496B0" w:themeColor="text2" w:themeTint="99"/>
          <w:sz w:val="28"/>
          <w:szCs w:val="28"/>
        </w:rPr>
      </w:pPr>
    </w:p>
    <w:p w14:paraId="217C5AE9" w14:textId="77777777" w:rsidR="00C14464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b/>
          <w:color w:val="8496B0" w:themeColor="text2" w:themeTint="99"/>
          <w:sz w:val="28"/>
          <w:szCs w:val="28"/>
        </w:rPr>
      </w:pPr>
    </w:p>
    <w:p w14:paraId="13768D2B" w14:textId="3AB86CAB" w:rsidR="00C14464" w:rsidRPr="00C14464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b/>
          <w:color w:val="FF0000"/>
          <w:sz w:val="28"/>
          <w:szCs w:val="28"/>
        </w:rPr>
      </w:pPr>
      <w:r w:rsidRPr="00C14464">
        <w:rPr>
          <w:rFonts w:ascii="Segoe UI" w:hAnsi="Segoe UI" w:cs="Segoe UI"/>
          <w:b/>
          <w:color w:val="FF0000"/>
          <w:sz w:val="28"/>
          <w:szCs w:val="28"/>
        </w:rPr>
        <w:br/>
        <w:t>Highly Confidential</w:t>
      </w:r>
    </w:p>
    <w:p w14:paraId="461274CD" w14:textId="77777777" w:rsidR="00C14464" w:rsidRPr="0043155E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Examples of data commonly classified as </w:t>
      </w:r>
      <w:r w:rsidRPr="0043155E">
        <w:rPr>
          <w:rFonts w:ascii="Segoe UI" w:hAnsi="Segoe UI" w:cs="Segoe UI"/>
          <w:b/>
          <w:bCs/>
          <w:sz w:val="20"/>
        </w:rPr>
        <w:t>Highly Confidential</w:t>
      </w:r>
      <w:r w:rsidRPr="0043155E">
        <w:rPr>
          <w:rFonts w:ascii="Segoe UI" w:hAnsi="Segoe UI" w:cs="Segoe UI"/>
          <w:sz w:val="20"/>
        </w:rPr>
        <w:t xml:space="preserve"> include but is not limited to:</w:t>
      </w:r>
    </w:p>
    <w:p w14:paraId="4D17AF91" w14:textId="77777777" w:rsidR="00C14464" w:rsidRPr="0043155E" w:rsidRDefault="00C14464" w:rsidP="00C144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Contoso pre-release financial results</w:t>
      </w:r>
    </w:p>
    <w:p w14:paraId="20B73860" w14:textId="77777777" w:rsidR="00C14464" w:rsidRPr="0043155E" w:rsidRDefault="00C14464" w:rsidP="00C144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Data used for authenticating or validating a person’s identity; or other information that can be used to directly or indirectly “authenticate and authorize” Contoso high-value transactions</w:t>
      </w:r>
    </w:p>
    <w:p w14:paraId="2FFA8787" w14:textId="77777777" w:rsidR="00C14464" w:rsidRPr="0043155E" w:rsidRDefault="00C14464" w:rsidP="00C144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Data under strict regulatory handling requirements (i.e. where the legal or regulatory body specifies the handling requirements for the data)</w:t>
      </w:r>
    </w:p>
    <w:p w14:paraId="392E18EA" w14:textId="77777777" w:rsidR="00C14464" w:rsidRPr="00C14464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b/>
          <w:color w:val="FFC000" w:themeColor="accent4"/>
          <w:sz w:val="28"/>
          <w:szCs w:val="28"/>
        </w:rPr>
      </w:pPr>
      <w:r w:rsidRPr="00C14464">
        <w:rPr>
          <w:rFonts w:ascii="Segoe UI" w:hAnsi="Segoe UI" w:cs="Segoe UI"/>
          <w:b/>
          <w:color w:val="FFC000" w:themeColor="accent4"/>
          <w:sz w:val="28"/>
          <w:szCs w:val="28"/>
        </w:rPr>
        <w:t>Confidential Data</w:t>
      </w:r>
    </w:p>
    <w:p w14:paraId="387E9ECD" w14:textId="77777777" w:rsidR="00C14464" w:rsidRPr="0043155E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Examples of data commonly classified as </w:t>
      </w:r>
      <w:r w:rsidRPr="0043155E">
        <w:rPr>
          <w:rFonts w:ascii="Segoe UI" w:hAnsi="Segoe UI" w:cs="Segoe UI"/>
          <w:b/>
          <w:bCs/>
          <w:sz w:val="20"/>
        </w:rPr>
        <w:t>Confidential</w:t>
      </w:r>
      <w:r w:rsidRPr="0043155E">
        <w:rPr>
          <w:rFonts w:ascii="Segoe UI" w:hAnsi="Segoe UI" w:cs="Segoe UI"/>
          <w:sz w:val="20"/>
        </w:rPr>
        <w:t xml:space="preserve"> include but is not limited to:</w:t>
      </w:r>
    </w:p>
    <w:p w14:paraId="6C9EF77C" w14:textId="77777777" w:rsidR="00C14464" w:rsidRPr="0043155E" w:rsidRDefault="00C14464" w:rsidP="00C1446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Product documentation and supporting materials</w:t>
      </w:r>
    </w:p>
    <w:p w14:paraId="29894829" w14:textId="77777777" w:rsidR="00C14464" w:rsidRPr="0043155E" w:rsidRDefault="00C14464" w:rsidP="00C1446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Non-Highly Confidential data that is subject to breach notification laws (e.g., personnel number, personal contact information)</w:t>
      </w:r>
    </w:p>
    <w:p w14:paraId="12A206F8" w14:textId="77777777" w:rsidR="00C14464" w:rsidRPr="0043155E" w:rsidRDefault="00C14464" w:rsidP="00C1446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Non-Highly Confidential Human Resources data</w:t>
      </w:r>
    </w:p>
    <w:p w14:paraId="6CF202CD" w14:textId="77777777" w:rsidR="00C14464" w:rsidRPr="0043155E" w:rsidRDefault="00C14464" w:rsidP="00C1446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Data about Contoso employees, such as title or current role </w:t>
      </w:r>
    </w:p>
    <w:p w14:paraId="1B6260D8" w14:textId="77777777" w:rsidR="00C14464" w:rsidRPr="00C14464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b/>
          <w:color w:val="0070C0"/>
          <w:sz w:val="28"/>
          <w:szCs w:val="28"/>
        </w:rPr>
      </w:pPr>
      <w:r w:rsidRPr="00C14464">
        <w:rPr>
          <w:rFonts w:ascii="Segoe UI" w:hAnsi="Segoe UI" w:cs="Segoe UI"/>
          <w:b/>
          <w:color w:val="0070C0"/>
          <w:sz w:val="28"/>
          <w:szCs w:val="28"/>
        </w:rPr>
        <w:t>General Data</w:t>
      </w:r>
    </w:p>
    <w:p w14:paraId="282A0760" w14:textId="77777777" w:rsidR="00C14464" w:rsidRPr="0043155E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Represents our daily work product used and shared throughout Contoso. Data classified as </w:t>
      </w:r>
    </w:p>
    <w:p w14:paraId="6F69BD99" w14:textId="77777777" w:rsidR="00C14464" w:rsidRPr="0043155E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Examples of data commonly classified as </w:t>
      </w:r>
      <w:r w:rsidRPr="0043155E">
        <w:rPr>
          <w:rFonts w:ascii="Segoe UI" w:hAnsi="Segoe UI" w:cs="Segoe UI"/>
          <w:b/>
          <w:sz w:val="20"/>
        </w:rPr>
        <w:t>General</w:t>
      </w:r>
      <w:r w:rsidRPr="0043155E">
        <w:rPr>
          <w:rFonts w:ascii="Segoe UI" w:hAnsi="Segoe UI" w:cs="Segoe UI"/>
          <w:sz w:val="20"/>
        </w:rPr>
        <w:t xml:space="preserve"> include but is not limited to:</w:t>
      </w:r>
    </w:p>
    <w:p w14:paraId="469B7A9C" w14:textId="77777777" w:rsidR="00C14464" w:rsidRPr="0043155E" w:rsidRDefault="00C14464" w:rsidP="00C1446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Commonly shared (internal) information, including operating procedures, policies and interoffice memorandums </w:t>
      </w:r>
    </w:p>
    <w:p w14:paraId="55BB9F64" w14:textId="77777777" w:rsidR="00C14464" w:rsidRPr="0043155E" w:rsidRDefault="00C14464" w:rsidP="00C1446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Companywide announcements and information that all employees, contingent staff, and those under NDA have been approved to read</w:t>
      </w:r>
    </w:p>
    <w:p w14:paraId="19DEAEAD" w14:textId="77777777" w:rsidR="00C14464" w:rsidRPr="00C14464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b/>
          <w:color w:val="00B050"/>
          <w:sz w:val="28"/>
          <w:szCs w:val="28"/>
        </w:rPr>
      </w:pPr>
      <w:r w:rsidRPr="00C14464">
        <w:rPr>
          <w:rFonts w:ascii="Segoe UI" w:hAnsi="Segoe UI" w:cs="Segoe UI"/>
          <w:b/>
          <w:color w:val="00B050"/>
          <w:sz w:val="28"/>
          <w:szCs w:val="28"/>
        </w:rPr>
        <w:t>Public Data</w:t>
      </w:r>
    </w:p>
    <w:p w14:paraId="0EDFD32E" w14:textId="77777777" w:rsidR="00C14464" w:rsidRPr="0043155E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Examples of data commonly classified as </w:t>
      </w:r>
      <w:r w:rsidRPr="0043155E">
        <w:rPr>
          <w:rFonts w:ascii="Segoe UI" w:hAnsi="Segoe UI" w:cs="Segoe UI"/>
          <w:b/>
          <w:bCs/>
          <w:sz w:val="20"/>
        </w:rPr>
        <w:t>Public</w:t>
      </w:r>
      <w:r w:rsidRPr="0043155E">
        <w:rPr>
          <w:rFonts w:ascii="Segoe UI" w:hAnsi="Segoe UI" w:cs="Segoe UI"/>
          <w:sz w:val="20"/>
        </w:rPr>
        <w:t xml:space="preserve"> include but is not limited to:</w:t>
      </w:r>
    </w:p>
    <w:p w14:paraId="3BB54542" w14:textId="77777777" w:rsidR="00C14464" w:rsidRPr="0043155E" w:rsidRDefault="00C14464" w:rsidP="00C1446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Marketing materials created for public product releases</w:t>
      </w:r>
    </w:p>
    <w:p w14:paraId="342EBBA3" w14:textId="77777777" w:rsidR="00C14464" w:rsidRPr="0043155E" w:rsidRDefault="00C14464" w:rsidP="00C1446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Published financial information</w:t>
      </w:r>
    </w:p>
    <w:p w14:paraId="7FE11AB4" w14:textId="77777777" w:rsidR="00C14464" w:rsidRPr="0043155E" w:rsidRDefault="00C14464" w:rsidP="00C1446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Materials used for presentations at open conferences, seminars, and podcasts</w:t>
      </w:r>
    </w:p>
    <w:p w14:paraId="79CA57F5" w14:textId="77777777" w:rsidR="00C14464" w:rsidRPr="00C14464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C1446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Non-business Data</w:t>
      </w:r>
    </w:p>
    <w:p w14:paraId="629D59D9" w14:textId="77777777" w:rsidR="00C14464" w:rsidRPr="0043155E" w:rsidRDefault="00C14464" w:rsidP="00C14464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Examples of data commonly classified as </w:t>
      </w:r>
      <w:r w:rsidRPr="0043155E">
        <w:rPr>
          <w:rFonts w:ascii="Segoe UI" w:hAnsi="Segoe UI" w:cs="Segoe UI"/>
          <w:b/>
          <w:bCs/>
          <w:sz w:val="20"/>
        </w:rPr>
        <w:t>Non-business</w:t>
      </w:r>
      <w:r w:rsidRPr="0043155E">
        <w:rPr>
          <w:rFonts w:ascii="Segoe UI" w:hAnsi="Segoe UI" w:cs="Segoe UI"/>
          <w:sz w:val="20"/>
        </w:rPr>
        <w:t xml:space="preserve"> include but is not limited to:</w:t>
      </w:r>
    </w:p>
    <w:p w14:paraId="498CBFCF" w14:textId="77777777" w:rsidR="00C14464" w:rsidRPr="0043155E" w:rsidRDefault="00C14464" w:rsidP="00C1446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>Your personal emails to family, friends and colleagues not related to Contoso business activities (e.g. lunch invitation)</w:t>
      </w:r>
    </w:p>
    <w:p w14:paraId="37A74A35" w14:textId="77777777" w:rsidR="00C14464" w:rsidRPr="0043155E" w:rsidRDefault="00C14464" w:rsidP="00C1446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Flyer sharing children’s summer camp information (not a Contoso sponsored event)  </w:t>
      </w:r>
    </w:p>
    <w:p w14:paraId="27D69D36" w14:textId="77777777" w:rsidR="00C14464" w:rsidRPr="0043155E" w:rsidRDefault="00C14464" w:rsidP="00C1446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  <w:sz w:val="20"/>
        </w:rPr>
      </w:pPr>
      <w:r w:rsidRPr="0043155E">
        <w:rPr>
          <w:rFonts w:ascii="Segoe UI" w:hAnsi="Segoe UI" w:cs="Segoe UI"/>
          <w:sz w:val="20"/>
        </w:rPr>
        <w:t xml:space="preserve">Individual non-Contoso data, such as your tax filing </w:t>
      </w:r>
    </w:p>
    <w:p w14:paraId="5ADB4004" w14:textId="77777777" w:rsidR="00C14464" w:rsidRDefault="00C14464" w:rsidP="00C14464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sectPr w:rsidR="00C14464" w:rsidSect="00754D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6340"/>
      <w:pgMar w:top="1400" w:right="900" w:bottom="666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B1FD5" w14:textId="77777777" w:rsidR="00B11A2E" w:rsidRDefault="00B11A2E" w:rsidP="00986618">
      <w:pPr>
        <w:spacing w:after="0" w:line="240" w:lineRule="auto"/>
      </w:pPr>
      <w:r>
        <w:separator/>
      </w:r>
    </w:p>
  </w:endnote>
  <w:endnote w:type="continuationSeparator" w:id="0">
    <w:p w14:paraId="697389AB" w14:textId="77777777" w:rsidR="00B11A2E" w:rsidRDefault="00B11A2E" w:rsidP="0098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ED8E" w14:textId="77777777" w:rsidR="00986618" w:rsidRDefault="00986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E465" w14:textId="77777777" w:rsidR="00986618" w:rsidRDefault="00986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59655" w14:textId="77777777" w:rsidR="00986618" w:rsidRDefault="00986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53214" w14:textId="77777777" w:rsidR="00B11A2E" w:rsidRDefault="00B11A2E" w:rsidP="00986618">
      <w:pPr>
        <w:spacing w:after="0" w:line="240" w:lineRule="auto"/>
      </w:pPr>
      <w:r>
        <w:separator/>
      </w:r>
    </w:p>
  </w:footnote>
  <w:footnote w:type="continuationSeparator" w:id="0">
    <w:p w14:paraId="13BFB534" w14:textId="77777777" w:rsidR="00B11A2E" w:rsidRDefault="00B11A2E" w:rsidP="00986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EE4FB" w14:textId="77777777" w:rsidR="00986618" w:rsidRDefault="00986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045A7" w14:textId="77777777" w:rsidR="00986618" w:rsidRDefault="00986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09257" w14:textId="77777777" w:rsidR="00986618" w:rsidRDefault="00986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EA91"/>
    <w:multiLevelType w:val="hybridMultilevel"/>
    <w:tmpl w:val="FFFFFFFF"/>
    <w:lvl w:ilvl="0" w:tplc="665C65FB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53C0D095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2061B531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2CA52C7B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7E9E3BC2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7C4849E4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86A9B44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01336961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35472387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1" w15:restartNumberingAfterBreak="0">
    <w:nsid w:val="164F0841"/>
    <w:multiLevelType w:val="hybridMultilevel"/>
    <w:tmpl w:val="C306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6FFD"/>
    <w:multiLevelType w:val="hybridMultilevel"/>
    <w:tmpl w:val="FFFFFFFF"/>
    <w:lvl w:ilvl="0" w:tplc="52BBD6D0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114055B1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781BE747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542EDED2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555661D8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62DCEB0C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6CFFE6DC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34898899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4AEDC530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3" w15:restartNumberingAfterBreak="0">
    <w:nsid w:val="5141DE3E"/>
    <w:multiLevelType w:val="hybridMultilevel"/>
    <w:tmpl w:val="FFFFFFFF"/>
    <w:lvl w:ilvl="0" w:tplc="68DDC0C4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336DF932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68BE7E0B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4208C473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08AB6EF4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1F68DFCF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2C9BB037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16AAD8A5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1512560C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4" w15:restartNumberingAfterBreak="0">
    <w:nsid w:val="7B2779E5"/>
    <w:multiLevelType w:val="hybridMultilevel"/>
    <w:tmpl w:val="CB703F24"/>
    <w:lvl w:ilvl="0" w:tplc="3A89AD43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13939114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2A0C8642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69D0DBA3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65190368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6355DF2E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D0A012F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1966C804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586F7201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18"/>
    <w:rsid w:val="000460F5"/>
    <w:rsid w:val="00065090"/>
    <w:rsid w:val="00084D4A"/>
    <w:rsid w:val="000C314F"/>
    <w:rsid w:val="000F631C"/>
    <w:rsid w:val="00105A6B"/>
    <w:rsid w:val="00137AAC"/>
    <w:rsid w:val="00153A50"/>
    <w:rsid w:val="00174CB5"/>
    <w:rsid w:val="001D45D9"/>
    <w:rsid w:val="00245D5E"/>
    <w:rsid w:val="00293E6C"/>
    <w:rsid w:val="002A658F"/>
    <w:rsid w:val="002C3DE7"/>
    <w:rsid w:val="0032654D"/>
    <w:rsid w:val="0039300C"/>
    <w:rsid w:val="00414C87"/>
    <w:rsid w:val="00521250"/>
    <w:rsid w:val="005716D0"/>
    <w:rsid w:val="006621CD"/>
    <w:rsid w:val="00673FCB"/>
    <w:rsid w:val="006F2EF9"/>
    <w:rsid w:val="00734B0B"/>
    <w:rsid w:val="00736434"/>
    <w:rsid w:val="007E575B"/>
    <w:rsid w:val="00865238"/>
    <w:rsid w:val="008D612E"/>
    <w:rsid w:val="00986618"/>
    <w:rsid w:val="009D3420"/>
    <w:rsid w:val="00AD60DB"/>
    <w:rsid w:val="00B11A2E"/>
    <w:rsid w:val="00B55D9E"/>
    <w:rsid w:val="00B62F68"/>
    <w:rsid w:val="00B917B3"/>
    <w:rsid w:val="00C14464"/>
    <w:rsid w:val="00CA1C75"/>
    <w:rsid w:val="00CC7755"/>
    <w:rsid w:val="00D75EC4"/>
    <w:rsid w:val="00DB6A06"/>
    <w:rsid w:val="00DD0DEF"/>
    <w:rsid w:val="00E207B8"/>
    <w:rsid w:val="00E24223"/>
    <w:rsid w:val="00E66BEC"/>
    <w:rsid w:val="00ED1837"/>
    <w:rsid w:val="00EE0EE6"/>
    <w:rsid w:val="00F035A2"/>
    <w:rsid w:val="00F35D1A"/>
    <w:rsid w:val="00FC04FC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F5D139"/>
  <w15:chartTrackingRefBased/>
  <w15:docId w15:val="{26596A91-BB17-4097-9923-2FBCD27C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661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18"/>
  </w:style>
  <w:style w:type="paragraph" w:styleId="Footer">
    <w:name w:val="footer"/>
    <w:basedOn w:val="Normal"/>
    <w:link w:val="FooterChar"/>
    <w:uiPriority w:val="99"/>
    <w:unhideWhenUsed/>
    <w:rsid w:val="0098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18"/>
  </w:style>
  <w:style w:type="character" w:styleId="Hyperlink">
    <w:name w:val="Hyperlink"/>
    <w:basedOn w:val="DefaultParagraphFont"/>
    <w:uiPriority w:val="99"/>
    <w:unhideWhenUsed/>
    <w:rsid w:val="00C14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4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464"/>
    <w:pPr>
      <w:spacing w:after="0"/>
      <w:ind w:left="720"/>
      <w:contextualSpacing/>
    </w:pPr>
    <w:rPr>
      <w:rFonts w:ascii="Segoe UI Light" w:hAnsi="Segoe UI Light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C1446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David</dc:creator>
  <cp:keywords/>
  <dc:description/>
  <cp:lastModifiedBy>Hen David</cp:lastModifiedBy>
  <cp:revision>18</cp:revision>
  <dcterms:created xsi:type="dcterms:W3CDTF">2017-03-15T11:04:00Z</dcterms:created>
  <dcterms:modified xsi:type="dcterms:W3CDTF">2019-02-14T12:25:00Z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867195-f2b8-4ac2-b0b6-6bb73cb33afc_Enabled">
    <vt:lpwstr>True</vt:lpwstr>
  </property>
  <property fmtid="{D5CDD505-2E9C-101B-9397-08002B2CF9AE}" pid="3" name="MSIP_Label_87867195-f2b8-4ac2-b0b6-6bb73cb33afc_SiteId">
    <vt:lpwstr>72f988bf-86f1-41af-91ab-2d7cd011db47</vt:lpwstr>
  </property>
  <property fmtid="{D5CDD505-2E9C-101B-9397-08002B2CF9AE}" pid="4" name="MSIP_Label_87867195-f2b8-4ac2-b0b6-6bb73cb33afc_Ref">
    <vt:lpwstr>https://api.informationprotection.azure.com/api/72f988bf-86f1-41af-91ab-2d7cd011db47</vt:lpwstr>
  </property>
  <property fmtid="{D5CDD505-2E9C-101B-9397-08002B2CF9AE}" pid="5" name="MSIP_Label_87867195-f2b8-4ac2-b0b6-6bb73cb33afc_SetBy">
    <vt:lpwstr>hedavid@microsoft.com</vt:lpwstr>
  </property>
  <property fmtid="{D5CDD505-2E9C-101B-9397-08002B2CF9AE}" pid="6" name="MSIP_Label_87867195-f2b8-4ac2-b0b6-6bb73cb33afc_SetDate">
    <vt:lpwstr>2017-03-16T21:06:07.3582916+02:00</vt:lpwstr>
  </property>
  <property fmtid="{D5CDD505-2E9C-101B-9397-08002B2CF9AE}" pid="7" name="MSIP_Label_87867195-f2b8-4ac2-b0b6-6bb73cb33afc_Name">
    <vt:lpwstr>Public</vt:lpwstr>
  </property>
  <property fmtid="{D5CDD505-2E9C-101B-9397-08002B2CF9AE}" pid="8" name="MSIP_Label_87867195-f2b8-4ac2-b0b6-6bb73cb33afc_Application">
    <vt:lpwstr>Microsoft Azure Information Protection</vt:lpwstr>
  </property>
  <property fmtid="{D5CDD505-2E9C-101B-9397-08002B2CF9AE}" pid="9" name="MSIP_Label_87867195-f2b8-4ac2-b0b6-6bb73cb33afc_Extended_MSFT_Method">
    <vt:lpwstr>Manual</vt:lpwstr>
  </property>
  <property fmtid="{D5CDD505-2E9C-101B-9397-08002B2CF9AE}" pid="10" name="Sensitivity">
    <vt:lpwstr>Public</vt:lpwstr>
  </property>
</Properties>
</file>