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The Physics of Critical Heat Flux — Foundation Document</w:t>
      </w:r>
    </w:p>
    <w:p>
      <w:pPr>
        <w:jc w:val="both"/>
      </w:pPr>
      <w:r>
        <w:rPr>
          <w:b/>
        </w:rPr>
        <w:t>Project:</w:t>
      </w:r>
      <w:r>
        <w:t xml:space="preserve"> Generalized CHF prediction across surfaces, geometries and fluids</w:t>
      </w:r>
    </w:p>
    <w:p>
      <w:pPr>
        <w:jc w:val="both"/>
      </w:pPr>
      <w:r>
        <w:rPr>
          <w:b/>
        </w:rPr>
        <w:t>Purpose:</w:t>
      </w:r>
      <w:r>
        <w:t xml:space="preserve"> Assemble every physical law, mechanism and closed-form equation that governs</w:t>
      </w:r>
    </w:p>
    <w:p>
      <w:pPr>
        <w:jc w:val="both"/>
      </w:pPr>
      <w:r>
        <w:t>CHF, so that the predictive model can be built *on physics* rather than on curve-fitting.</w:t>
      </w:r>
    </w:p>
    <w:p>
      <w:pPr>
        <w:jc w:val="both"/>
      </w:pPr>
      <w:r>
        <w:rPr>
          <w:b/>
        </w:rPr>
        <w:t>Status:</w:t>
      </w:r>
      <w:r>
        <w:t xml:space="preserve"> Research compilation. Section 9 (proposed algorithm) is a discussion draft, not</w:t>
      </w:r>
    </w:p>
    <w:p>
      <w:pPr>
        <w:jc w:val="both"/>
      </w:pPr>
      <w:r>
        <w:t>implemented code.</w:t>
      </w:r>
    </w:p>
    <w:p>
      <w:pPr>
        <w:jc w:val="center"/>
      </w:pPr>
      <w:r>
        <w:rPr>
          <w:sz w:val="20"/>
        </w:rPr>
        <w:t>• • •</w:t>
      </w:r>
    </w:p>
    <w:p>
      <w:pPr>
        <w:pStyle w:val="Heading2"/>
      </w:pPr>
      <w:r>
        <w:rPr>
          <w:rFonts w:ascii="Times New Roman" w:hAnsi="Times New Roman"/>
          <w:color w:val="000000"/>
        </w:rPr>
        <w:t>0. Why this document exists</w:t>
      </w:r>
    </w:p>
    <w:p>
      <w:pPr>
        <w:jc w:val="both"/>
      </w:pPr>
      <w:r>
        <w:t>Everything in this repository so far predicts CHF by *fitting*: look-up-table</w:t>
      </w:r>
    </w:p>
    <w:p>
      <w:pPr>
        <w:jc w:val="both"/>
      </w:pPr>
      <w:r>
        <w:t xml:space="preserve">interpolation, tree ensembles, ANNs, GPR. The audit in </w:t>
      </w:r>
      <w:r>
        <w:rPr>
          <w:rFonts w:ascii="Consolas" w:hAnsi="Consolas"/>
          <w:sz w:val="21"/>
        </w:rPr>
        <w:t>CHF Extrapolation Audit.html</w:t>
      </w:r>
    </w:p>
    <w:p>
      <w:pPr>
        <w:jc w:val="both"/>
      </w:pPr>
      <w:r>
        <w:t xml:space="preserve">and the </w:t>
      </w:r>
      <w:r>
        <w:rPr>
          <w:rFonts w:ascii="Consolas" w:hAnsi="Consolas"/>
          <w:sz w:val="21"/>
        </w:rPr>
        <w:t>unified_chf_pipeline</w:t>
      </w:r>
      <w:r>
        <w:t xml:space="preserve"> results both converge on the same verdict — these models</w:t>
      </w:r>
    </w:p>
    <w:p>
      <w:pPr>
        <w:jc w:val="both"/>
      </w:pPr>
      <w:r>
        <w:t>interpolate beautifully (R² ≈ 0.96–0.97 on random splits) and collapse the moment they</w:t>
      </w:r>
    </w:p>
    <w:p>
      <w:pPr>
        <w:jc w:val="both"/>
      </w:pPr>
      <w:r>
        <w:t>are asked for a surface, a fluid or a pressure they have not seen (strategy-3 R² = +0.17</w:t>
      </w:r>
    </w:p>
    <w:p>
      <w:pPr>
        <w:jc w:val="both"/>
      </w:pPr>
      <w:r>
        <w:t>to +0.22; LOSO folds near zero or negative).</w:t>
      </w:r>
    </w:p>
    <w:p>
      <w:pPr>
        <w:jc w:val="both"/>
      </w:pPr>
      <w:r>
        <w:t xml:space="preserve">That failure is not a hyperparameter problem. It is a </w:t>
      </w:r>
      <w:r>
        <w:rPr>
          <w:b/>
        </w:rPr>
        <w:t>basis problem</w:t>
      </w:r>
      <w:r>
        <w:t>. A model whose</w:t>
      </w:r>
    </w:p>
    <w:p>
      <w:pPr>
        <w:jc w:val="both"/>
      </w:pPr>
      <w:r>
        <w:t xml:space="preserve">features are </w:t>
      </w:r>
      <w:r>
        <w:rPr>
          <w:rFonts w:ascii="Consolas" w:hAnsi="Consolas"/>
          <w:sz w:val="21"/>
        </w:rPr>
        <w:t>(P, G, x, D, L)</w:t>
      </w:r>
      <w:r>
        <w:t xml:space="preserve"> in raw engineering units has no way of knowing that R123</w:t>
      </w:r>
    </w:p>
    <w:p>
      <w:pPr>
        <w:jc w:val="both"/>
      </w:pPr>
      <w:r>
        <w:t>and water are the same physics at different scales. A model whose features are</w:t>
      </w:r>
    </w:p>
    <w:p>
      <w:pPr>
        <w:jc w:val="both"/>
      </w:pPr>
      <w:r>
        <w:t>*dimensionless groups derived from the momentum and energy balances* does.</w:t>
      </w:r>
    </w:p>
    <w:p>
      <w:pPr>
        <w:jc w:val="both"/>
      </w:pPr>
      <w:r>
        <w:t>So this document collects the physics: the conservation laws, the instability criteria,</w:t>
      </w:r>
    </w:p>
    <w:p>
      <w:pPr>
        <w:jc w:val="both"/>
      </w:pPr>
      <w:r>
        <w:t>the trigger mechanisms, the closed-form correlations, and — most importantly for us —</w:t>
      </w:r>
    </w:p>
    <w:p>
      <w:pPr>
        <w:jc w:val="both"/>
      </w:pPr>
      <w:r>
        <w:rPr>
          <w:b/>
        </w:rPr>
        <w:t>the asymptotic and monotonicity constraints that any admissible CHF model must obey.</w:t>
      </w:r>
    </w:p>
    <w:p>
      <w:pPr>
        <w:jc w:val="both"/>
      </w:pPr>
      <w:r>
        <w:t>Those constraints (Section 8) are the raw material for a physics-constrained algorithm.</w:t>
      </w:r>
    </w:p>
    <w:p>
      <w:pPr>
        <w:jc w:val="both"/>
      </w:pPr>
      <w:r>
        <w:rPr>
          <w:b/>
        </w:rPr>
        <w:t>A note on rigour.</w:t>
      </w:r>
      <w:r>
        <w:t xml:space="preserve"> Every equation below is tagged:</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40" w:lineRule="auto" w:after="40"/>
            </w:pPr>
            <w:r>
              <w:rPr>
                <w:b/>
                <w:sz w:val="20"/>
              </w:rPr>
            </w:r>
            <w:r>
              <w:rPr>
                <w:b/>
                <w:sz w:val="20"/>
              </w:rPr>
              <w:t>Tag</w:t>
            </w:r>
          </w:p>
        </w:tc>
        <w:tc>
          <w:tcPr>
            <w:tcW w:type="dxa" w:w="4320"/>
          </w:tcPr>
          <w:p>
            <w:pPr>
              <w:spacing w:line="240" w:lineRule="auto" w:after="40"/>
            </w:pPr>
            <w:r>
              <w:rPr>
                <w:b/>
                <w:sz w:val="20"/>
              </w:rPr>
            </w:r>
            <w:r>
              <w:rPr>
                <w:b/>
                <w:sz w:val="20"/>
              </w:rPr>
              <w:t>Meaning</w:t>
            </w:r>
          </w:p>
        </w:tc>
      </w:tr>
      <w:tr>
        <w:tc>
          <w:tcPr>
            <w:tcW w:type="dxa" w:w="4320"/>
          </w:tcPr>
          <w:p>
            <w:pPr>
              <w:spacing w:line="240" w:lineRule="auto" w:after="40"/>
            </w:pPr>
            <w:r>
              <w:rPr>
                <w:sz w:val="20"/>
              </w:rPr>
            </w:r>
            <w:r>
              <w:rPr>
                <w:b/>
                <w:sz w:val="20"/>
              </w:rPr>
              <w:t>[V]</w:t>
            </w:r>
          </w:p>
        </w:tc>
        <w:tc>
          <w:tcPr>
            <w:tcW w:type="dxa" w:w="4320"/>
          </w:tcPr>
          <w:p>
            <w:pPr>
              <w:spacing w:line="240" w:lineRule="auto" w:after="40"/>
            </w:pPr>
            <w:r>
              <w:rPr>
                <w:sz w:val="20"/>
              </w:rPr>
            </w:r>
            <w:r>
              <w:rPr>
                <w:sz w:val="20"/>
              </w:rPr>
              <w:t>Transcribed verbatim from a primary source read during this research; source cited inline.</w:t>
            </w:r>
          </w:p>
        </w:tc>
      </w:tr>
      <w:tr>
        <w:tc>
          <w:tcPr>
            <w:tcW w:type="dxa" w:w="4320"/>
          </w:tcPr>
          <w:p>
            <w:pPr>
              <w:spacing w:line="240" w:lineRule="auto" w:after="40"/>
            </w:pPr>
            <w:r>
              <w:rPr>
                <w:sz w:val="20"/>
              </w:rPr>
            </w:r>
            <w:r>
              <w:rPr>
                <w:b/>
                <w:sz w:val="20"/>
              </w:rPr>
              <w:t>[S]</w:t>
            </w:r>
          </w:p>
        </w:tc>
        <w:tc>
          <w:tcPr>
            <w:tcW w:type="dxa" w:w="4320"/>
          </w:tcPr>
          <w:p>
            <w:pPr>
              <w:spacing w:line="240" w:lineRule="auto" w:after="40"/>
            </w:pPr>
            <w:r>
              <w:rPr>
                <w:sz w:val="20"/>
              </w:rPr>
            </w:r>
            <w:r>
              <w:rPr>
                <w:sz w:val="20"/>
              </w:rPr>
              <w:t>Structure verified from a secondary source; one or more constants could not be read cleanly and must be checked against the original paper before publication.</w:t>
            </w:r>
          </w:p>
        </w:tc>
      </w:tr>
      <w:tr>
        <w:tc>
          <w:tcPr>
            <w:tcW w:type="dxa" w:w="4320"/>
          </w:tcPr>
          <w:p>
            <w:pPr>
              <w:spacing w:line="240" w:lineRule="auto" w:after="40"/>
            </w:pPr>
            <w:r>
              <w:rPr>
                <w:sz w:val="20"/>
              </w:rPr>
            </w:r>
            <w:r>
              <w:rPr>
                <w:b/>
                <w:sz w:val="20"/>
              </w:rPr>
              <w:t>[X]</w:t>
            </w:r>
          </w:p>
        </w:tc>
        <w:tc>
          <w:tcPr>
            <w:tcW w:type="dxa" w:w="4320"/>
          </w:tcPr>
          <w:p>
            <w:pPr>
              <w:spacing w:line="240" w:lineRule="auto" w:after="40"/>
            </w:pPr>
            <w:r>
              <w:rPr>
                <w:sz w:val="20"/>
              </w:rPr>
            </w:r>
            <w:r>
              <w:rPr>
                <w:sz w:val="20"/>
              </w:rPr>
              <w:t xml:space="preserve">Known to exist and be relevant, but </w:t>
            </w:r>
            <w:r>
              <w:rPr>
                <w:b/>
                <w:sz w:val="20"/>
              </w:rPr>
              <w:t>not</w:t>
            </w:r>
            <w:r>
              <w:rPr>
                <w:sz w:val="20"/>
              </w:rPr>
              <w:t xml:space="preserve"> transcribed here because no clean primary source was obtained. Do not cite from memory.</w:t>
            </w:r>
          </w:p>
        </w:tc>
      </w:tr>
    </w:tbl>
    <w:p/>
    <w:p>
      <w:pPr>
        <w:jc w:val="both"/>
      </w:pPr>
      <w:r>
        <w:t>Nothing in this document was written from recollection. Where a source could not be</w:t>
      </w:r>
    </w:p>
    <w:p>
      <w:pPr>
        <w:jc w:val="both"/>
      </w:pPr>
      <w:r>
        <w:t>obtained, that is stated rather than papered over.</w:t>
      </w:r>
    </w:p>
    <w:p>
      <w:pPr>
        <w:jc w:val="center"/>
      </w:pPr>
      <w:r>
        <w:rPr>
          <w:sz w:val="20"/>
        </w:rPr>
        <w:t>• • •</w:t>
      </w:r>
    </w:p>
    <w:p>
      <w:pPr>
        <w:pStyle w:val="Heading2"/>
      </w:pPr>
      <w:r>
        <w:rPr>
          <w:rFonts w:ascii="Times New Roman" w:hAnsi="Times New Roman"/>
          <w:color w:val="000000"/>
        </w:rPr>
        <w:t>1. The phenomenon</w:t>
      </w:r>
    </w:p>
    <w:p>
      <w:pPr>
        <w:pStyle w:val="Heading3"/>
      </w:pPr>
      <w:r>
        <w:rPr>
          <w:rFonts w:ascii="Times New Roman" w:hAnsi="Times New Roman"/>
          <w:color w:val="000000"/>
        </w:rPr>
        <w:t>1.1 The boiling curve and the definition of CHF</w:t>
      </w:r>
    </w:p>
    <w:p>
      <w:pPr>
        <w:jc w:val="both"/>
      </w:pPr>
      <w:r>
        <w:t xml:space="preserve">Plotting wall heat flux </w:t>
      </w:r>
      <w:r>
        <w:rPr>
          <w:rFonts w:ascii="Consolas" w:hAnsi="Consolas"/>
          <w:sz w:val="21"/>
        </w:rPr>
        <w:t>q″</w:t>
      </w:r>
      <w:r>
        <w:t xml:space="preserve"> against wall superheat </w:t>
      </w:r>
      <w:r>
        <w:rPr>
          <w:rFonts w:ascii="Consolas" w:hAnsi="Consolas"/>
          <w:sz w:val="21"/>
        </w:rPr>
        <w:t>ΔT_sat = T_w − T_sat</w:t>
      </w:r>
      <w:r>
        <w:t xml:space="preserve"> produces the</w:t>
      </w:r>
    </w:p>
    <w:p>
      <w:pPr>
        <w:jc w:val="both"/>
      </w:pPr>
      <w:r>
        <w:t>boiling curve, with four regimes separated by three transition points</w:t>
      </w:r>
    </w:p>
    <w:p>
      <w:pPr>
        <w:jc w:val="both"/>
      </w:pPr>
      <w:r>
        <w:t xml:space="preserve">(Liang &amp; Mudawar 2018, §1.2) </w:t>
      </w:r>
      <w:r>
        <w:rPr>
          <w:b/>
        </w:rPr>
        <w:t>[V]</w:t>
      </w:r>
      <w:r>
        <w:t>:</w:t>
      </w:r>
    </w:p>
    <w:p>
      <w:pPr>
        <w:pStyle w:val="ListNumber"/>
        <w:spacing w:line="360" w:lineRule="auto"/>
      </w:pPr>
      <w:r>
        <w:rPr>
          <w:b/>
        </w:rPr>
        <w:t>Single-phase</w:t>
      </w:r>
      <w:r>
        <w:t xml:space="preserve"> — low superheat, convection only.</w:t>
      </w:r>
    </w:p>
    <w:p>
      <w:pPr>
        <w:pStyle w:val="ListNumber"/>
        <w:spacing w:line="360" w:lineRule="auto"/>
      </w:pPr>
      <w:r>
        <w:rPr>
          <w:b/>
        </w:rPr>
        <w:t>Nucleate boiling</w:t>
      </w:r>
      <w:r>
        <w:t xml:space="preserve"> — bubbles nucleate at the surface; highest heat transfer coefficients.</w:t>
      </w:r>
    </w:p>
    <w:p>
      <w:pPr>
        <w:pStyle w:val="ListNumber"/>
        <w:spacing w:line="360" w:lineRule="auto"/>
      </w:pPr>
      <w:r>
        <w:rPr>
          <w:b/>
        </w:rPr>
        <w:t>Transition boiling</w:t>
      </w:r>
      <w:r>
        <w:t xml:space="preserve"> — parts of the surface nucleate, parts are vapour-blanketed.</w:t>
      </w:r>
    </w:p>
    <w:p>
      <w:pPr>
        <w:pStyle w:val="ListNumber"/>
        <w:spacing w:line="360" w:lineRule="auto"/>
      </w:pPr>
      <w:r>
        <w:rPr>
          <w:b/>
        </w:rPr>
        <w:t>Film boiling</w:t>
      </w:r>
      <w:r>
        <w:t xml:space="preserve"> — continuous vapour blanket; lowest heat transfer coefficients.</w:t>
      </w:r>
    </w:p>
    <w:p>
      <w:pPr>
        <w:jc w:val="both"/>
      </w:pPr>
      <w:r>
        <w:t>Transitions: *onset of boiling* → *CHF* → *minimum heat flux (Leidenfrost)*.</w:t>
      </w:r>
    </w:p>
    <w:p>
      <w:pPr>
        <w:ind w:left="480" w:right="480"/>
      </w:pPr>
      <w:r>
        <w:rPr>
          <w:b/>
          <w:i/>
        </w:rPr>
        <w:t>CHF</w:t>
      </w:r>
      <w:r>
        <w:rPr>
          <w:i/>
        </w:rPr>
        <w:t xml:space="preserve"> is the point at which bubble nucleation is replaced by localised vapour blankets merging across the surface.</w:t>
      </w:r>
    </w:p>
    <w:p>
      <w:pPr>
        <w:jc w:val="both"/>
      </w:pPr>
      <w:r>
        <w:t>The engineering consequence is asymmetric and is the entire reason CHF matters:</w:t>
      </w:r>
    </w:p>
    <w:p>
      <w:pPr>
        <w:pStyle w:val="ListBullet"/>
        <w:spacing w:line="360" w:lineRule="auto"/>
      </w:pPr>
      <w:r>
        <w:t xml:space="preserve">In a </w:t>
      </w:r>
      <w:r>
        <w:rPr>
          <w:b/>
        </w:rPr>
        <w:t>temperature-controlled</w:t>
      </w:r>
      <w:r>
        <w:t xml:space="preserve"> system (fossil boiler tube), crossing CHF moves you</w:t>
      </w:r>
    </w:p>
    <w:p>
      <w:pPr>
        <w:jc w:val="both"/>
      </w:pPr>
      <w:r>
        <w:t>along the curve into transition boiling — recoverable.</w:t>
      </w:r>
    </w:p>
    <w:p>
      <w:pPr>
        <w:pStyle w:val="ListBullet"/>
        <w:spacing w:line="360" w:lineRule="auto"/>
      </w:pPr>
      <w:r>
        <w:t xml:space="preserve">In a </w:t>
      </w:r>
      <w:r>
        <w:rPr>
          <w:b/>
        </w:rPr>
        <w:t>heat-flux-controlled</w:t>
      </w:r>
      <w:r>
        <w:t xml:space="preserve"> system (a nuclear fuel rod, a power electronics die),</w:t>
      </w:r>
    </w:p>
    <w:p>
      <w:pPr>
        <w:jc w:val="both"/>
      </w:pPr>
      <w:r>
        <w:t>crossing CHF forces a jump from nucleate boiling straight to film boiling, because</w:t>
      </w:r>
    </w:p>
    <w:p>
      <w:pPr>
        <w:jc w:val="both"/>
      </w:pPr>
      <w:r>
        <w:t xml:space="preserve">there is no stable intermediate state at fixed </w:t>
      </w:r>
      <w:r>
        <w:rPr>
          <w:rFonts w:ascii="Consolas" w:hAnsi="Consolas"/>
          <w:sz w:val="21"/>
        </w:rPr>
        <w:t>q″</w:t>
      </w:r>
      <w:r>
        <w:t>. The wall temperature excursion</w:t>
      </w:r>
    </w:p>
    <w:p>
      <w:pPr>
        <w:jc w:val="both"/>
      </w:pPr>
      <w:r>
        <w:t>is immediate and can be hundreds of kelvin. This is *burnout* / *boiling crisis*.</w:t>
      </w:r>
    </w:p>
    <w:p>
      <w:pPr>
        <w:jc w:val="both"/>
      </w:pPr>
      <w:r>
        <w:t>NUREG/KM-0011 §2.1 makes the point explicitly: pre-nuclear boiling systems were mostly</w:t>
      </w:r>
    </w:p>
    <w:p>
      <w:pPr>
        <w:jc w:val="both"/>
      </w:pPr>
      <w:r>
        <w:t>temperature-controlled, so CHF was not urgent; water-cooled reactors are heat-flux</w:t>
      </w:r>
    </w:p>
    <w:p>
      <w:pPr>
        <w:jc w:val="both"/>
      </w:pPr>
      <w:r>
        <w:t xml:space="preserve">controlled and are *power-limited by CHF*. </w:t>
      </w:r>
      <w:r>
        <w:rPr>
          <w:b/>
        </w:rPr>
        <w:t>[V]</w:t>
      </w:r>
    </w:p>
    <w:p>
      <w:pPr>
        <w:pStyle w:val="Heading3"/>
      </w:pPr>
      <w:r>
        <w:rPr>
          <w:rFonts w:ascii="Times New Roman" w:hAnsi="Times New Roman"/>
          <w:color w:val="000000"/>
        </w:rPr>
        <w:t>1.2 Two physically distinct crises share one name</w:t>
      </w:r>
    </w:p>
    <w:p>
      <w:pPr>
        <w:jc w:val="both"/>
      </w:pPr>
      <w:r>
        <w:t>This distinction matters enormously for a generalised model, and most ML papers ignore it</w:t>
      </w:r>
    </w:p>
    <w:p>
      <w:pPr>
        <w:jc w:val="both"/>
      </w:pPr>
      <w:r>
        <w:t>(Zhao et al. 2019 note that none of the prior ML publications even attempted to</w:t>
      </w:r>
    </w:p>
    <w:p>
      <w:pPr>
        <w:jc w:val="both"/>
      </w:pPr>
      <w:r>
        <w:t xml:space="preserve">distinguish them) </w:t>
      </w:r>
      <w:r>
        <w:rPr>
          <w:b/>
        </w:rPr>
        <w:t>[V]</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p>
        </w:tc>
        <w:tc>
          <w:tcPr>
            <w:tcW w:type="dxa" w:w="2880"/>
          </w:tcPr>
          <w:p>
            <w:pPr>
              <w:spacing w:line="240" w:lineRule="auto" w:after="40"/>
            </w:pPr>
            <w:r>
              <w:rPr>
                <w:b/>
                <w:sz w:val="20"/>
              </w:rPr>
            </w:r>
            <w:r>
              <w:rPr>
                <w:b/>
                <w:sz w:val="20"/>
              </w:rPr>
              <w:t>DNB</w:t>
            </w:r>
            <w:r>
              <w:rPr>
                <w:b/>
                <w:sz w:val="20"/>
              </w:rPr>
              <w:t xml:space="preserve"> (departure from nucleate boiling)</w:t>
            </w:r>
          </w:p>
        </w:tc>
        <w:tc>
          <w:tcPr>
            <w:tcW w:type="dxa" w:w="2880"/>
          </w:tcPr>
          <w:p>
            <w:pPr>
              <w:spacing w:line="240" w:lineRule="auto" w:after="40"/>
            </w:pPr>
            <w:r>
              <w:rPr>
                <w:b/>
                <w:sz w:val="20"/>
              </w:rPr>
            </w:r>
            <w:r>
              <w:rPr>
                <w:b/>
                <w:sz w:val="20"/>
              </w:rPr>
              <w:t>Dryout</w:t>
            </w:r>
          </w:p>
        </w:tc>
      </w:tr>
      <w:tr>
        <w:tc>
          <w:tcPr>
            <w:tcW w:type="dxa" w:w="2880"/>
          </w:tcPr>
          <w:p>
            <w:pPr>
              <w:spacing w:line="240" w:lineRule="auto" w:after="40"/>
            </w:pPr>
            <w:r>
              <w:rPr>
                <w:sz w:val="20"/>
              </w:rPr>
            </w:r>
            <w:r>
              <w:rPr>
                <w:sz w:val="20"/>
              </w:rPr>
              <w:t>Regime</w:t>
            </w:r>
          </w:p>
        </w:tc>
        <w:tc>
          <w:tcPr>
            <w:tcW w:type="dxa" w:w="2880"/>
          </w:tcPr>
          <w:p>
            <w:pPr>
              <w:spacing w:line="240" w:lineRule="auto" w:after="40"/>
            </w:pPr>
            <w:r>
              <w:rPr>
                <w:sz w:val="20"/>
              </w:rPr>
            </w:r>
            <w:r>
              <w:rPr>
                <w:sz w:val="20"/>
              </w:rPr>
              <w:t>Subcooled / low quality</w:t>
            </w:r>
          </w:p>
        </w:tc>
        <w:tc>
          <w:tcPr>
            <w:tcW w:type="dxa" w:w="2880"/>
          </w:tcPr>
          <w:p>
            <w:pPr>
              <w:spacing w:line="240" w:lineRule="auto" w:after="40"/>
            </w:pPr>
            <w:r>
              <w:rPr>
                <w:sz w:val="20"/>
              </w:rPr>
            </w:r>
            <w:r>
              <w:rPr>
                <w:sz w:val="20"/>
              </w:rPr>
              <w:t>High quality, annular flow</w:t>
            </w:r>
          </w:p>
        </w:tc>
      </w:tr>
      <w:tr>
        <w:tc>
          <w:tcPr>
            <w:tcW w:type="dxa" w:w="2880"/>
          </w:tcPr>
          <w:p>
            <w:pPr>
              <w:spacing w:line="240" w:lineRule="auto" w:after="40"/>
            </w:pPr>
            <w:r>
              <w:rPr>
                <w:sz w:val="20"/>
              </w:rPr>
            </w:r>
            <w:r>
              <w:rPr>
                <w:sz w:val="20"/>
              </w:rPr>
              <w:t>Mechanism</w:t>
            </w:r>
          </w:p>
        </w:tc>
        <w:tc>
          <w:tcPr>
            <w:tcW w:type="dxa" w:w="2880"/>
          </w:tcPr>
          <w:p>
            <w:pPr>
              <w:spacing w:line="240" w:lineRule="auto" w:after="40"/>
            </w:pPr>
            <w:r>
              <w:rPr>
                <w:sz w:val="20"/>
              </w:rPr>
            </w:r>
            <w:r>
              <w:rPr>
                <w:sz w:val="20"/>
              </w:rPr>
              <w:t>Vapour blanket forms *at the wall* while bulk is still liquid</w:t>
            </w:r>
          </w:p>
        </w:tc>
        <w:tc>
          <w:tcPr>
            <w:tcW w:type="dxa" w:w="2880"/>
          </w:tcPr>
          <w:p>
            <w:pPr>
              <w:spacing w:line="240" w:lineRule="auto" w:after="40"/>
            </w:pPr>
            <w:r>
              <w:rPr>
                <w:sz w:val="20"/>
              </w:rPr>
            </w:r>
            <w:r>
              <w:rPr>
                <w:sz w:val="20"/>
              </w:rPr>
              <w:t>The annular liquid *film* is fully evaporated/entrained</w:t>
            </w:r>
          </w:p>
        </w:tc>
      </w:tr>
      <w:tr>
        <w:tc>
          <w:tcPr>
            <w:tcW w:type="dxa" w:w="2880"/>
          </w:tcPr>
          <w:p>
            <w:pPr>
              <w:spacing w:line="240" w:lineRule="auto" w:after="40"/>
            </w:pPr>
            <w:r>
              <w:rPr>
                <w:sz w:val="20"/>
              </w:rPr>
            </w:r>
            <w:r>
              <w:rPr>
                <w:sz w:val="20"/>
              </w:rPr>
              <w:t>Quality at CHF</w:t>
            </w:r>
          </w:p>
        </w:tc>
        <w:tc>
          <w:tcPr>
            <w:tcW w:type="dxa" w:w="2880"/>
          </w:tcPr>
          <w:p>
            <w:pPr>
              <w:spacing w:line="240" w:lineRule="auto" w:after="40"/>
            </w:pPr>
            <w:r>
              <w:rPr>
                <w:sz w:val="20"/>
              </w:rPr>
            </w:r>
            <w:r>
              <w:rPr>
                <w:rFonts w:ascii="Consolas" w:hAnsi="Consolas"/>
                <w:sz w:val="20"/>
              </w:rPr>
              <w:t>x &lt; 0</w:t>
            </w:r>
            <w:r>
              <w:rPr>
                <w:sz w:val="20"/>
              </w:rPr>
              <w:t xml:space="preserve"> to small positive</w:t>
            </w:r>
          </w:p>
        </w:tc>
        <w:tc>
          <w:tcPr>
            <w:tcW w:type="dxa" w:w="2880"/>
          </w:tcPr>
          <w:p>
            <w:pPr>
              <w:spacing w:line="240" w:lineRule="auto" w:after="40"/>
            </w:pPr>
            <w:r>
              <w:rPr>
                <w:sz w:val="20"/>
              </w:rPr>
            </w:r>
            <w:r>
              <w:rPr>
                <w:rFonts w:ascii="Consolas" w:hAnsi="Consolas"/>
                <w:sz w:val="20"/>
              </w:rPr>
              <w:t>x</w:t>
            </w:r>
            <w:r>
              <w:rPr>
                <w:sz w:val="20"/>
              </w:rPr>
              <w:t xml:space="preserve"> large positive</w:t>
            </w:r>
          </w:p>
        </w:tc>
      </w:tr>
      <w:tr>
        <w:tc>
          <w:tcPr>
            <w:tcW w:type="dxa" w:w="2880"/>
          </w:tcPr>
          <w:p>
            <w:pPr>
              <w:spacing w:line="240" w:lineRule="auto" w:after="40"/>
            </w:pPr>
            <w:r>
              <w:rPr>
                <w:sz w:val="20"/>
              </w:rPr>
            </w:r>
            <w:r>
              <w:rPr>
                <w:sz w:val="20"/>
              </w:rPr>
              <w:t>Heat flux level</w:t>
            </w:r>
          </w:p>
        </w:tc>
        <w:tc>
          <w:tcPr>
            <w:tcW w:type="dxa" w:w="2880"/>
          </w:tcPr>
          <w:p>
            <w:pPr>
              <w:spacing w:line="240" w:lineRule="auto" w:after="40"/>
            </w:pPr>
            <w:r>
              <w:rPr>
                <w:sz w:val="20"/>
              </w:rPr>
            </w:r>
            <w:r>
              <w:rPr>
                <w:sz w:val="20"/>
              </w:rPr>
              <w:t>High</w:t>
            </w:r>
          </w:p>
        </w:tc>
        <w:tc>
          <w:tcPr>
            <w:tcW w:type="dxa" w:w="2880"/>
          </w:tcPr>
          <w:p>
            <w:pPr>
              <w:spacing w:line="240" w:lineRule="auto" w:after="40"/>
            </w:pPr>
            <w:r>
              <w:rPr>
                <w:sz w:val="20"/>
              </w:rPr>
            </w:r>
            <w:r>
              <w:rPr>
                <w:sz w:val="20"/>
              </w:rPr>
              <w:t>Much lower</w:t>
            </w:r>
          </w:p>
        </w:tc>
      </w:tr>
      <w:tr>
        <w:tc>
          <w:tcPr>
            <w:tcW w:type="dxa" w:w="2880"/>
          </w:tcPr>
          <w:p>
            <w:pPr>
              <w:spacing w:line="240" w:lineRule="auto" w:after="40"/>
            </w:pPr>
            <w:r>
              <w:rPr>
                <w:sz w:val="20"/>
              </w:rPr>
            </w:r>
            <w:r>
              <w:rPr>
                <w:sz w:val="20"/>
              </w:rPr>
              <w:t>Excursion</w:t>
            </w:r>
          </w:p>
        </w:tc>
        <w:tc>
          <w:tcPr>
            <w:tcW w:type="dxa" w:w="2880"/>
          </w:tcPr>
          <w:p>
            <w:pPr>
              <w:spacing w:line="240" w:lineRule="auto" w:after="40"/>
            </w:pPr>
            <w:r>
              <w:rPr>
                <w:sz w:val="20"/>
              </w:rPr>
            </w:r>
            <w:r>
              <w:rPr>
                <w:sz w:val="20"/>
              </w:rPr>
              <w:t>"Fast dryout" — drastic, PWR-like</w:t>
            </w:r>
          </w:p>
        </w:tc>
        <w:tc>
          <w:tcPr>
            <w:tcW w:type="dxa" w:w="2880"/>
          </w:tcPr>
          <w:p>
            <w:pPr>
              <w:spacing w:line="240" w:lineRule="auto" w:after="40"/>
            </w:pPr>
            <w:r>
              <w:rPr>
                <w:sz w:val="20"/>
              </w:rPr>
            </w:r>
            <w:r>
              <w:rPr>
                <w:sz w:val="20"/>
              </w:rPr>
              <w:t>"Slow dryout" — gradual, BWR-like</w:t>
            </w:r>
          </w:p>
        </w:tc>
      </w:tr>
      <w:tr>
        <w:tc>
          <w:tcPr>
            <w:tcW w:type="dxa" w:w="2880"/>
          </w:tcPr>
          <w:p>
            <w:pPr>
              <w:spacing w:line="240" w:lineRule="auto" w:after="40"/>
            </w:pPr>
            <w:r>
              <w:rPr>
                <w:sz w:val="20"/>
              </w:rPr>
            </w:r>
            <w:r>
              <w:rPr>
                <w:sz w:val="20"/>
              </w:rPr>
              <w:t>Reactor</w:t>
            </w:r>
          </w:p>
        </w:tc>
        <w:tc>
          <w:tcPr>
            <w:tcW w:type="dxa" w:w="2880"/>
          </w:tcPr>
          <w:p>
            <w:pPr>
              <w:spacing w:line="240" w:lineRule="auto" w:after="40"/>
            </w:pPr>
            <w:r>
              <w:rPr>
                <w:sz w:val="20"/>
              </w:rPr>
            </w:r>
            <w:r>
              <w:rPr>
                <w:sz w:val="20"/>
              </w:rPr>
              <w:t>PWR</w:t>
            </w:r>
          </w:p>
        </w:tc>
        <w:tc>
          <w:tcPr>
            <w:tcW w:type="dxa" w:w="2880"/>
          </w:tcPr>
          <w:p>
            <w:pPr>
              <w:spacing w:line="240" w:lineRule="auto" w:after="40"/>
            </w:pPr>
            <w:r>
              <w:rPr>
                <w:sz w:val="20"/>
              </w:rPr>
            </w:r>
            <w:r>
              <w:rPr>
                <w:sz w:val="20"/>
              </w:rPr>
              <w:t>BWR</w:t>
            </w:r>
          </w:p>
        </w:tc>
      </w:tr>
    </w:tbl>
    <w:p/>
    <w:p>
      <w:pPr>
        <w:jc w:val="both"/>
      </w:pPr>
      <w:r>
        <w:t>Groeneveld (1986), via NUREG/KM-0011 §2.2, uses exactly this fast/slow dryout</w:t>
      </w:r>
    </w:p>
    <w:p>
      <w:pPr>
        <w:jc w:val="both"/>
      </w:pPr>
      <w:r>
        <w:t xml:space="preserve">language. </w:t>
      </w:r>
      <w:r>
        <w:rPr>
          <w:b/>
        </w:rPr>
        <w:t>[V]</w:t>
      </w:r>
    </w:p>
    <w:p>
      <w:pPr>
        <w:jc w:val="both"/>
      </w:pPr>
      <w:r>
        <w:rPr>
          <w:b/>
        </w:rPr>
        <w:t>Implication for us:</w:t>
      </w:r>
      <w:r>
        <w:t xml:space="preserve"> a single smooth function </w:t>
      </w:r>
      <w:r>
        <w:rPr>
          <w:rFonts w:ascii="Consolas" w:hAnsi="Consolas"/>
          <w:sz w:val="21"/>
        </w:rPr>
        <w:t>CHF = f(P, G, x, …)</w:t>
      </w:r>
      <w:r>
        <w:t xml:space="preserve"> is being asked to</w:t>
      </w:r>
    </w:p>
    <w:p>
      <w:pPr>
        <w:jc w:val="both"/>
      </w:pPr>
      <w:r>
        <w:t>represent two different physical mechanisms with different governing balances. Any</w:t>
      </w:r>
    </w:p>
    <w:p>
      <w:pPr>
        <w:jc w:val="both"/>
      </w:pPr>
      <w:r>
        <w:t>generalised model should either (a) carry a regime indicator, or (b) be built as a</w:t>
      </w:r>
    </w:p>
    <w:p>
      <w:pPr>
        <w:jc w:val="both"/>
      </w:pPr>
      <w:r>
        <w:t xml:space="preserve">mechanism-wise mixture. This is a stronger version of the </w:t>
      </w:r>
      <w:r>
        <w:rPr>
          <w:rFonts w:ascii="Consolas" w:hAnsi="Consolas"/>
          <w:sz w:val="21"/>
        </w:rPr>
        <w:t>geometry_family</w:t>
      </w:r>
      <w:r>
        <w:t xml:space="preserve"> one-hot fix</w:t>
      </w:r>
    </w:p>
    <w:p>
      <w:pPr>
        <w:jc w:val="both"/>
      </w:pPr>
      <w:r>
        <w:t xml:space="preserve">already made in </w:t>
      </w:r>
      <w:r>
        <w:rPr>
          <w:rFonts w:ascii="Consolas" w:hAnsi="Consolas"/>
          <w:sz w:val="21"/>
        </w:rPr>
        <w:t>unified_chf_pipeline/scripts/features.py</w:t>
      </w:r>
      <w:r>
        <w:t>, which alone moved</w:t>
      </w:r>
    </w:p>
    <w:p>
      <w:pPr>
        <w:jc w:val="both"/>
      </w:pPr>
      <w:r>
        <w:rPr>
          <w:rFonts w:ascii="Consolas" w:hAnsi="Consolas"/>
          <w:sz w:val="21"/>
        </w:rPr>
        <w:t>helical_coil_r123</w:t>
      </w:r>
      <w:r>
        <w:t xml:space="preserve"> from R² = −10.3 to R² = 0.93–0.96.</w:t>
      </w:r>
    </w:p>
    <w:p>
      <w:pPr>
        <w:pStyle w:val="Heading3"/>
      </w:pPr>
      <w:r>
        <w:rPr>
          <w:rFonts w:ascii="Times New Roman" w:hAnsi="Times New Roman"/>
          <w:color w:val="000000"/>
        </w:rPr>
        <w:t>1.3 CHF detection criteria — the target variable is not uniquely defined</w:t>
      </w:r>
    </w:p>
    <w:p>
      <w:pPr>
        <w:jc w:val="both"/>
      </w:pPr>
      <w:r>
        <w:t>The outline's §"CHF detection criterion" needs this. NUREG/KM-0011 §2.2 documents four</w:t>
      </w:r>
    </w:p>
    <w:p>
      <w:pPr>
        <w:jc w:val="both"/>
      </w:pPr>
      <w:r>
        <w:t xml:space="preserve">historical methods </w:t>
      </w:r>
      <w:r>
        <w:rPr>
          <w:b/>
        </w:rPr>
        <w:t>[V]</w:t>
      </w:r>
      <w:r>
        <w:t>:</w:t>
      </w:r>
    </w:p>
    <w:p>
      <w:pPr>
        <w:pStyle w:val="ListNumber"/>
        <w:spacing w:line="360" w:lineRule="auto"/>
      </w:pPr>
      <w:r>
        <w:rPr>
          <w:b/>
        </w:rPr>
        <w:t>Visual</w:t>
      </w:r>
      <w:r>
        <w:t xml:space="preserve"> — the test section "started to redden visually" (e.g. Hood &amp; Isakoff 1962).</w:t>
      </w:r>
    </w:p>
    <w:p>
      <w:pPr>
        <w:jc w:val="both"/>
      </w:pPr>
      <w:r>
        <w:t>Works for fast DNB; fails for slow BWR-type dryout, which produces only modest</w:t>
      </w:r>
    </w:p>
    <w:p>
      <w:pPr>
        <w:jc w:val="both"/>
      </w:pPr>
      <w:r>
        <w:t>excursions and no discolouration.</w:t>
      </w:r>
    </w:p>
    <w:p>
      <w:pPr>
        <w:pStyle w:val="ListNumber"/>
        <w:spacing w:line="360" w:lineRule="auto"/>
      </w:pPr>
      <w:r>
        <w:rPr>
          <w:b/>
        </w:rPr>
        <w:t>Physical burnout</w:t>
      </w:r>
      <w:r>
        <w:t xml:space="preserve"> — the section actually fails before power can be cut. Common at</w:t>
      </w:r>
    </w:p>
    <w:p>
      <w:pPr>
        <w:jc w:val="both"/>
      </w:pPr>
      <w:r>
        <w:t>high flow / high subcooling where CHF is very large.</w:t>
      </w:r>
    </w:p>
    <w:p>
      <w:pPr>
        <w:pStyle w:val="ListNumber"/>
        <w:spacing w:line="360" w:lineRule="auto"/>
      </w:pPr>
      <w:r>
        <w:rPr>
          <w:b/>
        </w:rPr>
        <w:t>Change in test-section resistance</w:t>
      </w:r>
      <w:r>
        <w:t xml:space="preserve"> — stainless steel (high temperature coefficient</w:t>
      </w:r>
    </w:p>
    <w:p>
      <w:pPr>
        <w:jc w:val="both"/>
      </w:pPr>
      <w:r>
        <w:t>of resistance) used as one leg of a Wheatstone bridge; the excursion unbalances the</w:t>
      </w:r>
    </w:p>
    <w:p>
      <w:pPr>
        <w:jc w:val="both"/>
      </w:pPr>
      <w:r>
        <w:t>bridge and trips the supply. Best for very fast excursions. (Dell et al. 1969;</w:t>
      </w:r>
    </w:p>
    <w:p>
      <w:pPr>
        <w:jc w:val="both"/>
      </w:pPr>
      <w:r>
        <w:t>Matzner et al. 1965; Hewitt et al. 1965.)</w:t>
      </w:r>
    </w:p>
    <w:p>
      <w:pPr>
        <w:pStyle w:val="ListNumber"/>
        <w:spacing w:line="360" w:lineRule="auto"/>
      </w:pPr>
      <w:r>
        <w:rPr>
          <w:b/>
        </w:rPr>
        <w:t>Test-section thermocouples</w:t>
      </w:r>
      <w:r>
        <w:t xml:space="preserve"> — most common. Attached at the downstream end of the</w:t>
      </w:r>
    </w:p>
    <w:p>
      <w:pPr>
        <w:jc w:val="both"/>
      </w:pPr>
      <w:r>
        <w:t>heated length. Unreliable for very slow dryouts, where the better criterion is a</w:t>
      </w:r>
    </w:p>
    <w:p>
      <w:pPr>
        <w:jc w:val="both"/>
      </w:pPr>
      <w:r>
        <w:t xml:space="preserve">change in the slope </w:t>
      </w:r>
      <w:r>
        <w:rPr>
          <w:rFonts w:ascii="Consolas" w:hAnsi="Consolas"/>
          <w:sz w:val="21"/>
        </w:rPr>
        <w:t>ΔT_w/Δq</w:t>
      </w:r>
      <w:r>
        <w:t xml:space="preserve"> (Groeneveld 1986).</w:t>
      </w:r>
    </w:p>
    <w:p>
      <w:pPr>
        <w:jc w:val="both"/>
      </w:pPr>
      <w:r>
        <w:t>Plus a fifth, "byproduct" case: in film-boiling experiments, CHF quality was either taken</w:t>
      </w:r>
    </w:p>
    <w:p>
      <w:pPr>
        <w:jc w:val="both"/>
      </w:pPr>
      <w:r>
        <w:t>as the quality of first surface-temperature rise, or as the average of the last pre-CHF</w:t>
      </w:r>
    </w:p>
    <w:p>
      <w:pPr>
        <w:jc w:val="both"/>
      </w:pPr>
      <w:r>
        <w:t xml:space="preserve">and first post-CHF quality (Era et al. 1966; Bennett et al. 1967; Herkenrath et al. 1967). </w:t>
      </w:r>
      <w:r>
        <w:rPr>
          <w:b/>
        </w:rPr>
        <w:t>[V]</w:t>
      </w:r>
    </w:p>
    <w:p>
      <w:pPr>
        <w:ind w:left="480" w:right="480"/>
      </w:pPr>
      <w:r>
        <w:rPr>
          <w:b/>
          <w:i/>
        </w:rPr>
        <w:t>This is a label-noise source, not a footnote.</w:t>
      </w:r>
      <w:r>
        <w:rPr>
          <w:i/>
        </w:rPr>
        <w:t xml:space="preserve"> Rows in our merged dataset carry CHF values defined by different criteria. Merging them without a </w:t>
      </w:r>
      <w:r>
        <w:rPr>
          <w:rFonts w:ascii="Consolas" w:hAnsi="Consolas"/>
          <w:i/>
          <w:sz w:val="21"/>
        </w:rPr>
        <w:t>detection_criterion</w:t>
      </w:r>
      <w:r>
        <w:rPr>
          <w:i/>
        </w:rPr>
        <w:t xml:space="preserve"> column means the model is fitting a target whose definition varies by source — and our hardest splits (surface-wise, leave-one-source-out) are *exactly* the splits where the criterion changes between train and test. Our </w:t>
      </w:r>
      <w:r>
        <w:rPr>
          <w:rFonts w:ascii="Consolas" w:hAnsi="Consolas"/>
          <w:i/>
          <w:sz w:val="21"/>
        </w:rPr>
        <w:t>master_chf_dataset.csv</w:t>
      </w:r>
      <w:r>
        <w:rPr>
          <w:i/>
        </w:rPr>
        <w:t xml:space="preserve"> has no such column today.</w:t>
      </w:r>
    </w:p>
    <w:p>
      <w:pPr>
        <w:pStyle w:val="Heading3"/>
      </w:pPr>
      <w:r>
        <w:rPr>
          <w:rFonts w:ascii="Times New Roman" w:hAnsi="Times New Roman"/>
          <w:color w:val="000000"/>
        </w:rPr>
        <w:t>1.4 Primary vs secondary parameters</w:t>
      </w:r>
    </w:p>
    <w:p>
      <w:pPr>
        <w:jc w:val="both"/>
      </w:pPr>
      <w:r>
        <w:t xml:space="preserve">NUREG/KM-0011 §2.3 </w:t>
      </w:r>
      <w:r>
        <w:rPr>
          <w:b/>
        </w:rPr>
        <w:t>[V]</w:t>
      </w:r>
      <w:r>
        <w:t>. CHF is a function of five primary parameters: pressure,</w:t>
      </w:r>
    </w:p>
    <w:p>
      <w:pPr>
        <w:jc w:val="both"/>
      </w:pPr>
      <w:r>
        <w:t>inlet temperature, mass flow, diameter, heated length.</w:t>
      </w:r>
    </w:p>
    <w:p>
      <w:pPr>
        <w:jc w:val="both"/>
      </w:pPr>
      <w:r>
        <w:t>Critically: Lee &amp; Obertelli (1963) and Lee (1965) showed that **heated length and inlet</w:t>
      </w:r>
    </w:p>
    <w:p>
      <w:pPr>
        <w:jc w:val="both"/>
      </w:pPr>
      <w:r>
        <w:t>temperature can be replaced by the thermodynamic quality at the CHF location**, provided</w:t>
      </w:r>
    </w:p>
    <w:p>
      <w:pPr>
        <w:jc w:val="both"/>
      </w:pPr>
      <w:r>
        <w:rPr>
          <w:rFonts w:ascii="Consolas" w:hAnsi="Consolas"/>
          <w:sz w:val="21"/>
        </w:rPr>
        <w:t>L/D &gt; 50</w:t>
      </w:r>
      <w:r>
        <w:t xml:space="preserve"> so upstream history effects are washed out. This is the origin of the</w:t>
      </w:r>
    </w:p>
    <w:p>
      <w:pPr>
        <w:jc w:val="both"/>
      </w:pPr>
      <w:r>
        <w:t xml:space="preserve">*local conditions hypothesis* (§1.6) and the reason the LUT is indexed on </w:t>
      </w:r>
      <w:r>
        <w:rPr>
          <w:rFonts w:ascii="Consolas" w:hAnsi="Consolas"/>
          <w:sz w:val="21"/>
        </w:rPr>
        <w:t>(P, G, x)</w:t>
      </w:r>
      <w:r>
        <w:t>.</w:t>
      </w:r>
    </w:p>
    <w:p>
      <w:pPr>
        <w:jc w:val="both"/>
      </w:pPr>
      <w:r>
        <w:t>Secondary parameters, with NUREG's assessment: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40" w:lineRule="auto" w:after="40"/>
            </w:pPr>
            <w:r>
              <w:rPr>
                <w:b/>
                <w:sz w:val="20"/>
              </w:rPr>
            </w:r>
            <w:r>
              <w:rPr>
                <w:b/>
                <w:sz w:val="20"/>
              </w:rPr>
              <w:t>Parameter</w:t>
            </w:r>
          </w:p>
        </w:tc>
        <w:tc>
          <w:tcPr>
            <w:tcW w:type="dxa" w:w="4320"/>
          </w:tcPr>
          <w:p>
            <w:pPr>
              <w:spacing w:line="240" w:lineRule="auto" w:after="40"/>
            </w:pPr>
            <w:r>
              <w:rPr>
                <w:b/>
                <w:sz w:val="20"/>
              </w:rPr>
            </w:r>
            <w:r>
              <w:rPr>
                <w:b/>
                <w:sz w:val="20"/>
              </w:rPr>
              <w:t>Effect on CHF</w:t>
            </w:r>
          </w:p>
        </w:tc>
      </w:tr>
      <w:tr>
        <w:tc>
          <w:tcPr>
            <w:tcW w:type="dxa" w:w="4320"/>
          </w:tcPr>
          <w:p>
            <w:pPr>
              <w:spacing w:line="240" w:lineRule="auto" w:after="40"/>
            </w:pPr>
            <w:r>
              <w:rPr>
                <w:sz w:val="20"/>
              </w:rPr>
            </w:r>
            <w:r>
              <w:rPr>
                <w:sz w:val="20"/>
              </w:rPr>
              <w:t>Orientation</w:t>
            </w:r>
          </w:p>
        </w:tc>
        <w:tc>
          <w:tcPr>
            <w:tcW w:type="dxa" w:w="4320"/>
          </w:tcPr>
          <w:p>
            <w:pPr>
              <w:spacing w:line="240" w:lineRule="auto" w:after="40"/>
            </w:pPr>
            <w:r>
              <w:rPr>
                <w:sz w:val="20"/>
              </w:rPr>
            </w:r>
            <w:r>
              <w:rPr>
                <w:sz w:val="20"/>
              </w:rPr>
              <w:t>Not significant at high flow where stratification is suppressed (Wong et al. 1990); use a flow-regime map (Taitel &amp; Dukler 1975) to bound it.</w:t>
            </w:r>
          </w:p>
        </w:tc>
      </w:tr>
      <w:tr>
        <w:tc>
          <w:tcPr>
            <w:tcW w:type="dxa" w:w="4320"/>
          </w:tcPr>
          <w:p>
            <w:pPr>
              <w:spacing w:line="240" w:lineRule="auto" w:after="40"/>
            </w:pPr>
            <w:r>
              <w:rPr>
                <w:sz w:val="20"/>
              </w:rPr>
            </w:r>
            <w:r>
              <w:rPr>
                <w:sz w:val="20"/>
              </w:rPr>
              <w:t>Test-section material</w:t>
            </w:r>
          </w:p>
        </w:tc>
        <w:tc>
          <w:tcPr>
            <w:tcW w:type="dxa" w:w="4320"/>
          </w:tcPr>
          <w:p>
            <w:pPr>
              <w:spacing w:line="240" w:lineRule="auto" w:after="40"/>
            </w:pPr>
            <w:r>
              <w:rPr>
                <w:sz w:val="20"/>
              </w:rPr>
            </w:r>
            <w:r>
              <w:rPr>
                <w:sz w:val="20"/>
              </w:rPr>
              <w:t xml:space="preserve">Generally little effect in flow boiling. But at low flow / DNB conditions, </w:t>
            </w:r>
            <w:r>
              <w:rPr>
                <w:b/>
                <w:sz w:val="20"/>
              </w:rPr>
              <w:t>high-conductivity materials can suppress hot spots under bubbles and raise CHF</w:t>
            </w:r>
            <w:r>
              <w:rPr>
                <w:sz w:val="20"/>
              </w:rPr>
              <w:t>.</w:t>
            </w:r>
          </w:p>
        </w:tc>
      </w:tr>
      <w:tr>
        <w:tc>
          <w:tcPr>
            <w:tcW w:type="dxa" w:w="4320"/>
          </w:tcPr>
          <w:p>
            <w:pPr>
              <w:spacing w:line="240" w:lineRule="auto" w:after="40"/>
            </w:pPr>
            <w:r>
              <w:rPr>
                <w:sz w:val="20"/>
              </w:rPr>
            </w:r>
            <w:r>
              <w:rPr>
                <w:sz w:val="20"/>
              </w:rPr>
              <w:t>Type of heating (Joule vs nuclear)</w:t>
            </w:r>
          </w:p>
        </w:tc>
        <w:tc>
          <w:tcPr>
            <w:tcW w:type="dxa" w:w="4320"/>
          </w:tcPr>
          <w:p>
            <w:pPr>
              <w:spacing w:line="240" w:lineRule="auto" w:after="40"/>
            </w:pPr>
            <w:r>
              <w:rPr>
                <w:sz w:val="20"/>
              </w:rPr>
            </w:r>
            <w:r>
              <w:rPr>
                <w:sz w:val="20"/>
              </w:rPr>
              <w:t>No significant effect (Leung et al. 1982).</w:t>
            </w:r>
          </w:p>
        </w:tc>
      </w:tr>
      <w:tr>
        <w:tc>
          <w:tcPr>
            <w:tcW w:type="dxa" w:w="4320"/>
          </w:tcPr>
          <w:p>
            <w:pPr>
              <w:spacing w:line="240" w:lineRule="auto" w:after="40"/>
            </w:pPr>
            <w:r>
              <w:rPr>
                <w:sz w:val="20"/>
              </w:rPr>
            </w:r>
            <w:r>
              <w:rPr>
                <w:sz w:val="20"/>
              </w:rPr>
              <w:t>Wall thickness</w:t>
            </w:r>
          </w:p>
        </w:tc>
        <w:tc>
          <w:tcPr>
            <w:tcW w:type="dxa" w:w="4320"/>
          </w:tcPr>
          <w:p>
            <w:pPr>
              <w:spacing w:line="240" w:lineRule="auto" w:after="40"/>
            </w:pPr>
            <w:r>
              <w:rPr>
                <w:sz w:val="20"/>
              </w:rPr>
            </w:r>
            <w:r>
              <w:rPr>
                <w:sz w:val="20"/>
              </w:rPr>
              <w:t>No discernible effect (Bergles 1963; Bennett et al. 1965), except possibly for very thin walls. Contrast with pool boiling, §4.5 — there it matters a lot.</w:t>
            </w:r>
          </w:p>
        </w:tc>
      </w:tr>
      <w:tr>
        <w:tc>
          <w:tcPr>
            <w:tcW w:type="dxa" w:w="4320"/>
          </w:tcPr>
          <w:p>
            <w:pPr>
              <w:spacing w:line="240" w:lineRule="auto" w:after="40"/>
            </w:pPr>
            <w:r>
              <w:rPr>
                <w:sz w:val="20"/>
              </w:rPr>
            </w:r>
            <w:r>
              <w:rPr>
                <w:b/>
                <w:sz w:val="20"/>
              </w:rPr>
              <w:t>Surface roughness</w:t>
            </w:r>
          </w:p>
        </w:tc>
        <w:tc>
          <w:tcPr>
            <w:tcW w:type="dxa" w:w="4320"/>
          </w:tcPr>
          <w:p>
            <w:pPr>
              <w:spacing w:line="240" w:lineRule="auto" w:after="40"/>
            </w:pPr>
            <w:r>
              <w:rPr>
                <w:sz w:val="20"/>
              </w:rPr>
            </w:r>
            <w:r>
              <w:rPr>
                <w:sz w:val="20"/>
              </w:rPr>
              <w:t xml:space="preserve">Generally small in flow boiling, *"because the vapor generation rate at the surface usually determines the CHF occurrence."* </w:t>
            </w:r>
            <w:r>
              <w:rPr>
                <w:b/>
                <w:sz w:val="20"/>
              </w:rPr>
              <w:t>But: when roughness exceeds the liquid film thickness in annular-film dryout, premature film breakdown reduces CHF.</w:t>
            </w:r>
          </w:p>
        </w:tc>
      </w:tr>
      <w:tr>
        <w:tc>
          <w:tcPr>
            <w:tcW w:type="dxa" w:w="4320"/>
          </w:tcPr>
          <w:p>
            <w:pPr>
              <w:spacing w:line="240" w:lineRule="auto" w:after="40"/>
            </w:pPr>
            <w:r>
              <w:rPr>
                <w:sz w:val="20"/>
              </w:rPr>
            </w:r>
            <w:r>
              <w:rPr>
                <w:sz w:val="20"/>
              </w:rPr>
              <w:t>Inlet/outlet throttling</w:t>
            </w:r>
          </w:p>
        </w:tc>
        <w:tc>
          <w:tcPr>
            <w:tcW w:type="dxa" w:w="4320"/>
          </w:tcPr>
          <w:p>
            <w:pPr>
              <w:spacing w:line="240" w:lineRule="auto" w:after="40"/>
            </w:pPr>
            <w:r>
              <w:rPr>
                <w:sz w:val="20"/>
              </w:rPr>
            </w:r>
            <w:r>
              <w:rPr>
                <w:sz w:val="20"/>
              </w:rPr>
              <w:t xml:space="preserve">Outlet restriction → flow/pressure instability → </w:t>
            </w:r>
            <w:r>
              <w:rPr>
                <w:b/>
                <w:sz w:val="20"/>
              </w:rPr>
              <w:t>significant CHF reduction</w:t>
            </w:r>
            <w:r>
              <w:rPr>
                <w:sz w:val="20"/>
              </w:rPr>
              <w:t xml:space="preserve"> (Lowdermilk 1958; Mayinger et al. 1966). A "soft" (unthrottled) inlet permits oscillations; a "hard" inlet suppresses them (Kirillov 1997).</w:t>
            </w:r>
          </w:p>
        </w:tc>
      </w:tr>
      <w:tr>
        <w:tc>
          <w:tcPr>
            <w:tcW w:type="dxa" w:w="4320"/>
          </w:tcPr>
          <w:p>
            <w:pPr>
              <w:spacing w:line="240" w:lineRule="auto" w:after="40"/>
            </w:pPr>
            <w:r>
              <w:rPr>
                <w:sz w:val="20"/>
              </w:rPr>
            </w:r>
            <w:r>
              <w:rPr>
                <w:sz w:val="20"/>
              </w:rPr>
              <w:t>Dissolved gas</w:t>
            </w:r>
          </w:p>
        </w:tc>
        <w:tc>
          <w:tcPr>
            <w:tcW w:type="dxa" w:w="4320"/>
          </w:tcPr>
          <w:p>
            <w:pPr>
              <w:spacing w:line="240" w:lineRule="auto" w:after="40"/>
            </w:pPr>
            <w:r>
              <w:rPr>
                <w:sz w:val="20"/>
              </w:rPr>
            </w:r>
            <w:r>
              <w:rPr>
                <w:sz w:val="20"/>
              </w:rPr>
              <w:t xml:space="preserve">Up to </w:t>
            </w:r>
            <w:r>
              <w:rPr>
                <w:b/>
                <w:sz w:val="20"/>
              </w:rPr>
              <w:t>30% CHF reduction</w:t>
            </w:r>
            <w:r>
              <w:rPr>
                <w:sz w:val="20"/>
              </w:rPr>
              <w:t xml:space="preserve"> at 4,000 Ncm³/kg (Kirillov 1997).</w:t>
            </w:r>
          </w:p>
        </w:tc>
      </w:tr>
    </w:tbl>
    <w:p/>
    <w:p>
      <w:pPr>
        <w:ind w:left="480" w:right="480"/>
      </w:pPr>
      <w:r>
        <w:rPr>
          <w:b/>
          <w:i/>
        </w:rPr>
        <w:t>Note the tension</w:t>
      </w:r>
      <w:r>
        <w:rPr>
          <w:i/>
        </w:rPr>
        <w:t xml:space="preserve"> with the outline's premise. NUREG says roughness effects in *flow* boiling are usually small; the pool-boiling literature (§4.2) says roughness and wettability matter enormously. Both are right — they are different regimes. The defensible framing for the paper is: *surface characteristics dominate in pool boiling / low-flow DNB and in annular dryout when roughness is film-scale, and are second-order in high-flow subcooled DNB.* A generalised model must reproduce that regime-dependence, not assert a single global surface sensitivity.</w:t>
      </w:r>
    </w:p>
    <w:p>
      <w:pPr>
        <w:pStyle w:val="Heading3"/>
      </w:pPr>
      <w:r>
        <w:rPr>
          <w:rFonts w:ascii="Times New Roman" w:hAnsi="Times New Roman"/>
          <w:color w:val="000000"/>
        </w:rPr>
        <w:t>1.5 Energy balance and thermodynamic quality</w:t>
      </w:r>
    </w:p>
    <w:p>
      <w:pPr>
        <w:jc w:val="both"/>
      </w:pPr>
      <w:r>
        <w:t>The one exact relation in the whole subject. For a uniformly heated tube, an energy</w:t>
      </w:r>
    </w:p>
    <w:p>
      <w:pPr>
        <w:jc w:val="both"/>
      </w:pPr>
      <w:r>
        <w:t xml:space="preserve">balance between inlet and the CHF location (Hall &amp; Mudawar 2000b, Eq. 8) </w:t>
      </w:r>
      <w:r>
        <w:rPr>
          <w:b/>
        </w:rPr>
        <w:t>[V]</w:t>
      </w:r>
      <w:r>
        <w:t>:</w:t>
      </w:r>
    </w:p>
    <w:p>
      <w:pPr>
        <w:spacing w:line="240" w:lineRule="auto" w:after="200" w:before="120"/>
        <w:ind w:left="360"/>
      </w:pPr>
      <w:r>
        <w:rPr>
          <w:rFonts w:ascii="Consolas" w:hAnsi="Consolas"/>
          <w:sz w:val="18"/>
        </w:rPr>
        <w:t>h_o = h_i + 4 · (L/D) · (q″/G)</w:t>
      </w:r>
    </w:p>
    <w:p>
      <w:pPr>
        <w:jc w:val="both"/>
      </w:pPr>
      <w:r>
        <w:t xml:space="preserve">In non-dimensional form (their Eq. 9–10) </w:t>
      </w:r>
      <w:r>
        <w:rPr>
          <w:b/>
        </w:rPr>
        <w:t>[V]</w:t>
      </w:r>
      <w:r>
        <w:t>:</w:t>
      </w:r>
    </w:p>
    <w:p>
      <w:pPr>
        <w:spacing w:line="240" w:lineRule="auto" w:after="200" w:before="120"/>
        <w:ind w:left="360"/>
      </w:pPr>
      <w:r>
        <w:rPr>
          <w:rFonts w:ascii="Consolas" w:hAnsi="Consolas"/>
          <w:sz w:val="18"/>
        </w:rPr>
        <w:t>x_o = x_i* + 4 · Bo · (L/D)</w:t>
      </w:r>
    </w:p>
    <w:p>
      <w:pPr>
        <w:jc w:val="both"/>
      </w:pPr>
      <w:r>
        <w:t xml:space="preserve">where the </w:t>
      </w:r>
      <w:r>
        <w:rPr>
          <w:b/>
        </w:rPr>
        <w:t>boiling number</w:t>
      </w:r>
      <w:r>
        <w:t xml:space="preserve"> is</w:t>
      </w:r>
    </w:p>
    <w:p>
      <w:pPr>
        <w:spacing w:line="240" w:lineRule="auto" w:after="200" w:before="120"/>
        <w:ind w:left="360"/>
      </w:pPr>
      <w:r>
        <w:rPr>
          <w:rFonts w:ascii="Consolas" w:hAnsi="Consolas"/>
          <w:sz w:val="18"/>
        </w:rPr>
        <w:t>Bo = q″ / (G · h_fg)</w:t>
      </w:r>
    </w:p>
    <w:p>
      <w:pPr>
        <w:jc w:val="both"/>
      </w:pPr>
      <w:r>
        <w:t xml:space="preserve">and </w:t>
      </w:r>
      <w:r>
        <w:rPr>
          <w:rFonts w:ascii="Consolas" w:hAnsi="Consolas"/>
          <w:sz w:val="21"/>
        </w:rPr>
        <w:t>x_i*</w:t>
      </w:r>
      <w:r>
        <w:t xml:space="preserve"> is the *pseudo-inlet quality* </w:t>
      </w:r>
      <w:r>
        <w:rPr>
          <w:rFonts w:ascii="Consolas" w:hAnsi="Consolas"/>
          <w:sz w:val="21"/>
        </w:rPr>
        <w:t>(h_i − h_f,o)/h_fg,o</w:t>
      </w:r>
      <w:r>
        <w:t>, i.e. inlet enthalpy</w:t>
      </w:r>
    </w:p>
    <w:p>
      <w:pPr>
        <w:jc w:val="both"/>
      </w:pPr>
      <w:r>
        <w:t>referenced to *outlet*-pressure saturation properties — which is what lets the</w:t>
      </w:r>
    </w:p>
    <w:p>
      <w:pPr>
        <w:jc w:val="both"/>
      </w:pPr>
      <w:r>
        <w:t>correlation avoid needing the inlet pressure at all.</w:t>
      </w:r>
    </w:p>
    <w:p>
      <w:pPr>
        <w:jc w:val="both"/>
      </w:pPr>
      <w:r>
        <w:rPr>
          <w:b/>
        </w:rPr>
        <w:t>Thermodynamic equilibrium quality:</w:t>
      </w:r>
    </w:p>
    <w:p>
      <w:pPr>
        <w:spacing w:line="240" w:lineRule="auto" w:after="200" w:before="120"/>
        <w:ind w:left="360"/>
      </w:pPr>
      <w:r>
        <w:rPr>
          <w:rFonts w:ascii="Consolas" w:hAnsi="Consolas"/>
          <w:sz w:val="18"/>
        </w:rPr>
        <w:t>x = (h − h_f) / h_fg</w:t>
      </w:r>
    </w:p>
    <w:p>
      <w:pPr>
        <w:jc w:val="both"/>
      </w:pPr>
      <w:r>
        <w:t>with saturated properties evaluated at the pressure of the CHF point (usually outlet).</w:t>
      </w:r>
    </w:p>
    <w:p>
      <w:pPr>
        <w:jc w:val="both"/>
      </w:pPr>
      <w:r>
        <w:rPr>
          <w:rFonts w:ascii="Consolas" w:hAnsi="Consolas"/>
          <w:sz w:val="21"/>
        </w:rPr>
        <w:t>x &lt; 0</w:t>
      </w:r>
      <w:r>
        <w:t xml:space="preserve"> denotes subcooled conditions and is a *pseudo*-quality — there is no vapour, it is</w:t>
      </w:r>
    </w:p>
    <w:p>
      <w:pPr>
        <w:jc w:val="both"/>
      </w:pPr>
      <w:r>
        <w:t>an enthalpy deficit expressed in quality units.</w:t>
      </w:r>
    </w:p>
    <w:p>
      <w:pPr>
        <w:jc w:val="both"/>
      </w:pPr>
      <w:r>
        <w:rPr>
          <w:b/>
        </w:rPr>
        <w:t>Why this matters to us:</w:t>
      </w:r>
      <w:r>
        <w:t xml:space="preserve"> this equation is an exact constraint linking</w:t>
      </w:r>
    </w:p>
    <w:p>
      <w:pPr>
        <w:jc w:val="both"/>
      </w:pPr>
      <w:r>
        <w:rPr>
          <w:rFonts w:ascii="Consolas" w:hAnsi="Consolas"/>
          <w:sz w:val="21"/>
        </w:rPr>
        <w:t>x_o, x_i, L/D, Bo</w:t>
      </w:r>
      <w:r>
        <w:t>. It means an "inlet conditions" correlation and an "outlet (local)</w:t>
      </w:r>
    </w:p>
    <w:p>
      <w:pPr>
        <w:jc w:val="both"/>
      </w:pPr>
      <w:r>
        <w:t>conditions" correlation are transformations of one another, *not* independent modelling</w:t>
      </w:r>
    </w:p>
    <w:p>
      <w:pPr>
        <w:jc w:val="both"/>
      </w:pPr>
      <w:r>
        <w:t xml:space="preserve">choices. Any model that takes </w:t>
      </w:r>
      <w:r>
        <w:rPr>
          <w:rFonts w:ascii="Consolas" w:hAnsi="Consolas"/>
          <w:sz w:val="21"/>
        </w:rPr>
        <w:t>x</w:t>
      </w:r>
      <w:r>
        <w:t xml:space="preserve">, </w:t>
      </w:r>
      <w:r>
        <w:rPr>
          <w:rFonts w:ascii="Consolas" w:hAnsi="Consolas"/>
          <w:sz w:val="21"/>
        </w:rPr>
        <w:t>L/D</w:t>
      </w:r>
      <w:r>
        <w:t xml:space="preserve"> and </w:t>
      </w:r>
      <w:r>
        <w:rPr>
          <w:rFonts w:ascii="Consolas" w:hAnsi="Consolas"/>
          <w:sz w:val="21"/>
        </w:rPr>
        <w:t>G</w:t>
      </w:r>
      <w:r>
        <w:t xml:space="preserve"> as free independent features is</w:t>
      </w:r>
    </w:p>
    <w:p>
      <w:pPr>
        <w:jc w:val="both"/>
      </w:pPr>
      <w:r>
        <w:t>implicitly allowed to violate energy conservation. **This is a hard constraint we can</w:t>
      </w:r>
    </w:p>
    <w:p>
      <w:pPr>
        <w:jc w:val="both"/>
      </w:pPr>
      <w:r>
        <w:t>impose for free.**</w:t>
      </w:r>
    </w:p>
    <w:p>
      <w:pPr>
        <w:pStyle w:val="Heading3"/>
      </w:pPr>
      <w:r>
        <w:rPr>
          <w:rFonts w:ascii="Times New Roman" w:hAnsi="Times New Roman"/>
          <w:color w:val="000000"/>
        </w:rPr>
        <w:t>1.6 The local conditions hypothesis</w:t>
      </w:r>
    </w:p>
    <w:p>
      <w:pPr>
        <w:ind w:left="480" w:right="480"/>
      </w:pPr>
      <w:r>
        <w:rPr>
          <w:i/>
        </w:rPr>
        <w:t>For a water-cooled tube of fixed diameter, CHF is a unique function of the *local* pressure, mass flux and thermodynamic quality at the CHF location.</w:t>
      </w:r>
    </w:p>
    <w:p>
      <w:pPr>
        <w:jc w:val="both"/>
      </w:pPr>
      <w:r>
        <w:t xml:space="preserve">(NUREG/KM-0011 §3.3 </w:t>
      </w:r>
      <w:r>
        <w:rPr>
          <w:b/>
        </w:rPr>
        <w:t>[V]</w:t>
      </w:r>
      <w:r>
        <w:t>.) This is the assumption underpinning the entire look-up</w:t>
      </w:r>
    </w:p>
    <w:p>
      <w:pPr>
        <w:jc w:val="both"/>
      </w:pPr>
      <w:r>
        <w:t xml:space="preserve">table approach. It is an *assumption*, and it is what fails when </w:t>
      </w:r>
      <w:r>
        <w:rPr>
          <w:rFonts w:ascii="Consolas" w:hAnsi="Consolas"/>
          <w:sz w:val="21"/>
        </w:rPr>
        <w:t>L/D &lt; 50</w:t>
      </w:r>
      <w:r>
        <w:t>, under</w:t>
      </w:r>
    </w:p>
    <w:p>
      <w:pPr>
        <w:jc w:val="both"/>
      </w:pPr>
      <w:r>
        <w:t>non-uniform axial heating, and under flow instability. Hall &amp; Mudawar note the</w:t>
      </w:r>
    </w:p>
    <w:p>
      <w:pPr>
        <w:jc w:val="both"/>
      </w:pPr>
      <w:r>
        <w:t xml:space="preserve">consequence precisely: the outlet-conditions correlation *cannot* show an </w:t>
      </w:r>
      <w:r>
        <w:rPr>
          <w:rFonts w:ascii="Consolas" w:hAnsi="Consolas"/>
          <w:sz w:val="21"/>
        </w:rPr>
        <w:t>L/D</w:t>
      </w:r>
      <w:r>
        <w:t xml:space="preserve"> effect,</w:t>
      </w:r>
    </w:p>
    <w:p>
      <w:pPr>
        <w:jc w:val="both"/>
      </w:pPr>
      <w:r>
        <w:t>because it hypothesises CHF depends only on local conditions — whereas the inlet-conditions</w:t>
      </w:r>
    </w:p>
    <w:p>
      <w:pPr>
        <w:jc w:val="both"/>
      </w:pPr>
      <w:r>
        <w:t xml:space="preserve">form does exhibit </w:t>
      </w:r>
      <w:r>
        <w:rPr>
          <w:rFonts w:ascii="Consolas" w:hAnsi="Consolas"/>
          <w:sz w:val="21"/>
        </w:rPr>
        <w:t>L/D</w:t>
      </w:r>
      <w:r>
        <w:t xml:space="preserve">. </w:t>
      </w:r>
      <w:r>
        <w:rPr>
          <w:b/>
        </w:rPr>
        <w:t>[V]</w:t>
      </w:r>
    </w:p>
    <w:p>
      <w:pPr>
        <w:jc w:val="center"/>
      </w:pPr>
      <w:r>
        <w:rPr>
          <w:sz w:val="20"/>
        </w:rPr>
        <w:t>• • •</w:t>
      </w:r>
    </w:p>
    <w:p>
      <w:pPr>
        <w:pStyle w:val="Heading2"/>
      </w:pPr>
      <w:r>
        <w:rPr>
          <w:rFonts w:ascii="Times New Roman" w:hAnsi="Times New Roman"/>
          <w:color w:val="000000"/>
        </w:rPr>
        <w:t>2. Dimensional analysis — the backbone of generalisation</w:t>
      </w:r>
    </w:p>
    <w:p>
      <w:pPr>
        <w:jc w:val="both"/>
      </w:pPr>
      <w:r>
        <w:t>This section is the most important one for our modelling goal.</w:t>
      </w:r>
    </w:p>
    <w:p>
      <w:pPr>
        <w:pStyle w:val="Heading3"/>
      </w:pPr>
      <w:r>
        <w:rPr>
          <w:rFonts w:ascii="Times New Roman" w:hAnsi="Times New Roman"/>
          <w:color w:val="000000"/>
        </w:rPr>
        <w:t>2.1 Kutateladze's derivation (1948) — worked through</w:t>
      </w:r>
    </w:p>
    <w:p>
      <w:pPr>
        <w:jc w:val="both"/>
      </w:pPr>
      <w:r>
        <w:t xml:space="preserve">The archetype for how *all* of this works. From Liang &amp; Mudawar 2018 §1.4 </w:t>
      </w:r>
      <w:r>
        <w:rPr>
          <w:b/>
        </w:rPr>
        <w:t>[V]</w:t>
      </w:r>
      <w:r>
        <w:t>:</w:t>
      </w:r>
    </w:p>
    <w:p>
      <w:pPr>
        <w:jc w:val="both"/>
      </w:pPr>
      <w:r>
        <w:rPr>
          <w:b/>
        </w:rPr>
        <w:t>Step 1.</w:t>
      </w:r>
      <w:r>
        <w:t xml:space="preserve"> Vigorous boiling releases vapour perpendicular to the surface at velocity</w:t>
      </w:r>
    </w:p>
    <w:p>
      <w:pPr>
        <w:spacing w:line="240" w:lineRule="auto" w:after="200" w:before="120"/>
        <w:ind w:left="360"/>
      </w:pPr>
      <w:r>
        <w:rPr>
          <w:rFonts w:ascii="Consolas" w:hAnsi="Consolas"/>
          <w:sz w:val="18"/>
        </w:rPr>
        <w:t>u_g = q″ / (ρ_g · h_fg)                                              (1)</w:t>
      </w:r>
    </w:p>
    <w:p>
      <w:pPr>
        <w:jc w:val="both"/>
      </w:pPr>
      <w:r>
        <w:rPr>
          <w:b/>
        </w:rPr>
        <w:t>Step 2.</w:t>
      </w:r>
      <w:r>
        <w:t xml:space="preserve"> At CHF, the vapour's kinetic energy just balances the gravitational force on</w:t>
      </w:r>
    </w:p>
    <w:p>
      <w:pPr>
        <w:jc w:val="both"/>
      </w:pPr>
      <w:r>
        <w:t>the suspended liquid:</w:t>
      </w:r>
    </w:p>
    <w:p>
      <w:pPr>
        <w:spacing w:line="240" w:lineRule="auto" w:after="200" w:before="120"/>
        <w:ind w:left="360"/>
      </w:pPr>
      <w:r>
        <w:rPr>
          <w:rFonts w:ascii="Consolas" w:hAnsi="Consolas"/>
          <w:sz w:val="18"/>
        </w:rPr>
        <w:t>ρ_g · u_g²  ~  g · (ρ_f − ρ_g) · δ*                                  (2)</w:t>
      </w:r>
    </w:p>
    <w:p>
      <w:pPr>
        <w:jc w:val="both"/>
      </w:pPr>
      <w:r>
        <w:rPr>
          <w:b/>
        </w:rPr>
        <w:t>Step 3.</w:t>
      </w:r>
      <w:r>
        <w:t xml:space="preserve"> </w:t>
      </w:r>
      <w:r>
        <w:rPr>
          <w:rFonts w:ascii="Consolas" w:hAnsi="Consolas"/>
          <w:sz w:val="21"/>
        </w:rPr>
        <w:t>δ*</w:t>
      </w:r>
      <w:r>
        <w:t xml:space="preserve"> is the linear scale of capillary disturbances — the </w:t>
      </w:r>
      <w:r>
        <w:rPr>
          <w:b/>
        </w:rPr>
        <w:t>capillary length</w:t>
      </w:r>
      <w:r>
        <w:t>:</w:t>
      </w:r>
    </w:p>
    <w:p>
      <w:pPr>
        <w:spacing w:line="240" w:lineRule="auto" w:after="200" w:before="120"/>
        <w:ind w:left="360"/>
      </w:pPr>
      <w:r>
        <w:rPr>
          <w:rFonts w:ascii="Consolas" w:hAnsi="Consolas"/>
          <w:sz w:val="18"/>
        </w:rPr>
        <w:t>δ* = [ σ / (g(ρ_f − ρ_g)) ]^(1/2)                                    (3)</w:t>
      </w:r>
    </w:p>
    <w:p>
      <w:pPr>
        <w:jc w:val="both"/>
      </w:pPr>
      <w:r>
        <w:rPr>
          <w:b/>
        </w:rPr>
        <w:t>Step 4.</w:t>
      </w:r>
      <w:r>
        <w:t xml:space="preserve"> Substituting (1) and (3) into (2) yields the Kutateladze–Zuber form:</w:t>
      </w:r>
    </w:p>
    <w:p>
      <w:pPr>
        <w:spacing w:line="240" w:lineRule="auto" w:after="200" w:before="120"/>
        <w:ind w:left="360"/>
      </w:pPr>
      <w:r>
        <w:rPr>
          <w:rFonts w:ascii="Consolas" w:hAnsi="Consolas"/>
          <w:sz w:val="18"/>
        </w:rPr>
        <w:t xml:space="preserve">        q″_CHF</w:t>
        <w:br/>
        <w:t>──────────────────────────────────  =  K                             (4)</w:t>
        <w:br/>
        <w:t>ρ_g h_fg [ σ g (ρ_f − ρ_g) / ρ_g² ]^(1/4)</w:t>
      </w:r>
    </w:p>
    <w:p>
      <w:pPr>
        <w:jc w:val="both"/>
      </w:pPr>
      <w:r>
        <w:t xml:space="preserve">Kutateladze recommended </w:t>
      </w:r>
      <w:r>
        <w:rPr>
          <w:b/>
        </w:rPr>
        <w:t>K = 0.16</w:t>
      </w:r>
      <w:r>
        <w:t xml:space="preserve"> for a large horizontal flat surface.</w:t>
      </w:r>
    </w:p>
    <w:p>
      <w:pPr>
        <w:jc w:val="both"/>
      </w:pPr>
      <w:r>
        <w:rPr>
          <w:b/>
        </w:rPr>
        <w:t>The key structural insight</w:t>
      </w:r>
      <w:r>
        <w:t>, stated by Liang &amp; Mudawar themselves:</w:t>
      </w:r>
    </w:p>
    <w:p>
      <w:pPr>
        <w:ind w:left="480" w:right="480"/>
      </w:pPr>
      <w:r>
        <w:rPr>
          <w:i/>
        </w:rPr>
        <w:t xml:space="preserve">"because this equation was derived from dimensional analysis premises, it is expected that different theoretical CHF models for saturated pool boiling may be arranged into the form of Eq. (4), </w:t>
      </w:r>
      <w:r>
        <w:rPr>
          <w:b/>
          <w:i/>
        </w:rPr>
        <w:t>independent of the CHF mechanism proposed</w:t>
      </w:r>
      <w:r>
        <w:rPr>
          <w:i/>
        </w:rPr>
        <w:t xml:space="preserve">." </w:t>
      </w:r>
      <w:r>
        <w:rPr>
          <w:b/>
          <w:i/>
        </w:rPr>
        <w:t>[V]</w:t>
      </w:r>
    </w:p>
    <w:p>
      <w:pPr>
        <w:jc w:val="both"/>
      </w:pPr>
      <w:r>
        <w:t>So the entire pool-boiling literature reduces to *one functional form and a dimensionless</w:t>
      </w:r>
    </w:p>
    <w:p>
      <w:pPr>
        <w:jc w:val="both"/>
      </w:pPr>
      <w:r>
        <w:t>number K*, where K carries the physics of the mechanism, the surface, the orientation and</w:t>
      </w:r>
    </w:p>
    <w:p>
      <w:pPr>
        <w:jc w:val="both"/>
      </w:pPr>
      <w:r>
        <w:t>the fluid. **That is the template for our model: predict a dimensionless CHF, not a</w:t>
      </w:r>
    </w:p>
    <w:p>
      <w:pPr>
        <w:jc w:val="both"/>
      </w:pPr>
      <w:r>
        <w:t>dimensional one.**</w:t>
      </w:r>
    </w:p>
    <w:p>
      <w:pPr>
        <w:pStyle w:val="Heading3"/>
      </w:pPr>
      <w:r>
        <w:rPr>
          <w:rFonts w:ascii="Times New Roman" w:hAnsi="Times New Roman"/>
          <w:color w:val="000000"/>
        </w:rPr>
        <w:t>2.2 The dimensionless group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after="40"/>
            </w:pPr>
            <w:r>
              <w:rPr>
                <w:b/>
                <w:sz w:val="20"/>
              </w:rPr>
            </w:r>
            <w:r>
              <w:rPr>
                <w:b/>
                <w:sz w:val="20"/>
              </w:rPr>
              <w:t>Group</w:t>
            </w:r>
          </w:p>
        </w:tc>
        <w:tc>
          <w:tcPr>
            <w:tcW w:type="dxa" w:w="2160"/>
          </w:tcPr>
          <w:p>
            <w:pPr>
              <w:spacing w:line="240" w:lineRule="auto" w:after="40"/>
            </w:pPr>
            <w:r>
              <w:rPr>
                <w:b/>
                <w:sz w:val="20"/>
              </w:rPr>
            </w:r>
            <w:r>
              <w:rPr>
                <w:b/>
                <w:sz w:val="20"/>
              </w:rPr>
              <w:t>Definition</w:t>
            </w:r>
          </w:p>
        </w:tc>
        <w:tc>
          <w:tcPr>
            <w:tcW w:type="dxa" w:w="2160"/>
          </w:tcPr>
          <w:p>
            <w:pPr>
              <w:spacing w:line="240" w:lineRule="auto" w:after="40"/>
            </w:pPr>
            <w:r>
              <w:rPr>
                <w:b/>
                <w:sz w:val="20"/>
              </w:rPr>
            </w:r>
            <w:r>
              <w:rPr>
                <w:b/>
                <w:sz w:val="20"/>
              </w:rPr>
              <w:t>Physical meaning</w:t>
            </w:r>
          </w:p>
        </w:tc>
        <w:tc>
          <w:tcPr>
            <w:tcW w:type="dxa" w:w="2160"/>
          </w:tcPr>
          <w:p>
            <w:pPr>
              <w:spacing w:line="240" w:lineRule="auto" w:after="40"/>
            </w:pPr>
            <w:r>
              <w:rPr>
                <w:b/>
                <w:sz w:val="20"/>
              </w:rPr>
            </w:r>
            <w:r>
              <w:rPr>
                <w:b/>
                <w:sz w:val="20"/>
              </w:rPr>
              <w:t>Source</w:t>
            </w:r>
          </w:p>
        </w:tc>
      </w:tr>
      <w:tr>
        <w:tc>
          <w:tcPr>
            <w:tcW w:type="dxa" w:w="2160"/>
          </w:tcPr>
          <w:p>
            <w:pPr>
              <w:spacing w:line="240" w:lineRule="auto" w:after="40"/>
            </w:pPr>
            <w:r>
              <w:rPr>
                <w:sz w:val="20"/>
              </w:rPr>
            </w:r>
            <w:r>
              <w:rPr>
                <w:b/>
                <w:sz w:val="20"/>
              </w:rPr>
              <w:t>Dimensionless CHF</w:t>
            </w:r>
            <w:r>
              <w:rPr>
                <w:sz w:val="20"/>
              </w:rPr>
              <w:t xml:space="preserve"> </w:t>
            </w:r>
            <w:r>
              <w:rPr>
                <w:rFonts w:ascii="Consolas" w:hAnsi="Consolas"/>
                <w:sz w:val="20"/>
              </w:rPr>
              <w:t>K</w:t>
            </w:r>
          </w:p>
        </w:tc>
        <w:tc>
          <w:tcPr>
            <w:tcW w:type="dxa" w:w="2160"/>
          </w:tcPr>
          <w:p>
            <w:pPr>
              <w:spacing w:line="240" w:lineRule="auto" w:after="40"/>
            </w:pPr>
            <w:r>
              <w:rPr>
                <w:sz w:val="20"/>
              </w:rPr>
            </w:r>
            <w:r>
              <w:rPr>
                <w:rFonts w:ascii="Consolas" w:hAnsi="Consolas"/>
                <w:sz w:val="20"/>
              </w:rPr>
              <w:t>q″/(ρ_g h_fg [σg(ρ_f−ρ_g)/ρ_g²]^{1/4})</w:t>
            </w:r>
          </w:p>
        </w:tc>
        <w:tc>
          <w:tcPr>
            <w:tcW w:type="dxa" w:w="2160"/>
          </w:tcPr>
          <w:p>
            <w:pPr>
              <w:spacing w:line="240" w:lineRule="auto" w:after="40"/>
            </w:pPr>
            <w:r>
              <w:rPr>
                <w:sz w:val="20"/>
              </w:rPr>
            </w:r>
            <w:r>
              <w:rPr>
                <w:sz w:val="20"/>
              </w:rPr>
              <w:t>CHF vs. hydrodynamic limit</w:t>
            </w:r>
          </w:p>
        </w:tc>
        <w:tc>
          <w:tcPr>
            <w:tcW w:type="dxa" w:w="2160"/>
          </w:tcPr>
          <w:p>
            <w:pPr>
              <w:spacing w:line="240" w:lineRule="auto" w:after="40"/>
            </w:pPr>
            <w:r>
              <w:rPr>
                <w:sz w:val="20"/>
              </w:rPr>
            </w:r>
            <w:r>
              <w:rPr>
                <w:sz w:val="20"/>
              </w:rPr>
              <w:t xml:space="preserve">Kutateladze </w:t>
            </w:r>
            <w:r>
              <w:rPr>
                <w:b/>
                <w:sz w:val="20"/>
              </w:rPr>
              <w:t>[V]</w:t>
            </w:r>
          </w:p>
        </w:tc>
      </w:tr>
      <w:tr>
        <w:tc>
          <w:tcPr>
            <w:tcW w:type="dxa" w:w="2160"/>
          </w:tcPr>
          <w:p>
            <w:pPr>
              <w:spacing w:line="240" w:lineRule="auto" w:after="40"/>
            </w:pPr>
            <w:r>
              <w:rPr>
                <w:sz w:val="20"/>
              </w:rPr>
            </w:r>
            <w:r>
              <w:rPr>
                <w:b/>
                <w:sz w:val="20"/>
              </w:rPr>
              <w:t>Boiling number</w:t>
            </w:r>
            <w:r>
              <w:rPr>
                <w:sz w:val="20"/>
              </w:rPr>
              <w:t xml:space="preserve"> </w:t>
            </w:r>
            <w:r>
              <w:rPr>
                <w:rFonts w:ascii="Consolas" w:hAnsi="Consolas"/>
                <w:sz w:val="20"/>
              </w:rPr>
              <w:t>Bo</w:t>
            </w:r>
          </w:p>
        </w:tc>
        <w:tc>
          <w:tcPr>
            <w:tcW w:type="dxa" w:w="2160"/>
          </w:tcPr>
          <w:p>
            <w:pPr>
              <w:spacing w:line="240" w:lineRule="auto" w:after="40"/>
            </w:pPr>
            <w:r>
              <w:rPr>
                <w:sz w:val="20"/>
              </w:rPr>
            </w:r>
            <w:r>
              <w:rPr>
                <w:rFonts w:ascii="Consolas" w:hAnsi="Consolas"/>
                <w:sz w:val="20"/>
              </w:rPr>
              <w:t>q″/(G h_fg)</w:t>
            </w:r>
          </w:p>
        </w:tc>
        <w:tc>
          <w:tcPr>
            <w:tcW w:type="dxa" w:w="2160"/>
          </w:tcPr>
          <w:p>
            <w:pPr>
              <w:spacing w:line="240" w:lineRule="auto" w:after="40"/>
            </w:pPr>
            <w:r>
              <w:rPr>
                <w:sz w:val="20"/>
              </w:rPr>
            </w:r>
            <w:r>
              <w:rPr>
                <w:sz w:val="20"/>
              </w:rPr>
              <w:t>Wall evaporation vs. total flow enthalpy capacity</w:t>
            </w:r>
          </w:p>
        </w:tc>
        <w:tc>
          <w:tcPr>
            <w:tcW w:type="dxa" w:w="2160"/>
          </w:tcPr>
          <w:p>
            <w:pPr>
              <w:spacing w:line="240" w:lineRule="auto" w:after="40"/>
            </w:pPr>
            <w:r>
              <w:rPr>
                <w:sz w:val="20"/>
              </w:rPr>
            </w:r>
            <w:r>
              <w:rPr>
                <w:sz w:val="20"/>
              </w:rPr>
              <w:t xml:space="preserve">Hall &amp; Mudawar </w:t>
            </w:r>
            <w:r>
              <w:rPr>
                <w:b/>
                <w:sz w:val="20"/>
              </w:rPr>
              <w:t>[V]</w:t>
            </w:r>
          </w:p>
        </w:tc>
      </w:tr>
      <w:tr>
        <w:tc>
          <w:tcPr>
            <w:tcW w:type="dxa" w:w="2160"/>
          </w:tcPr>
          <w:p>
            <w:pPr>
              <w:spacing w:line="240" w:lineRule="auto" w:after="40"/>
            </w:pPr>
            <w:r>
              <w:rPr>
                <w:sz w:val="20"/>
              </w:rPr>
            </w:r>
            <w:r>
              <w:rPr>
                <w:b/>
                <w:sz w:val="20"/>
              </w:rPr>
              <w:t>Weber number</w:t>
            </w:r>
            <w:r>
              <w:rPr>
                <w:sz w:val="20"/>
              </w:rPr>
              <w:t xml:space="preserve"> </w:t>
            </w:r>
            <w:r>
              <w:rPr>
                <w:rFonts w:ascii="Consolas" w:hAnsi="Consolas"/>
                <w:sz w:val="20"/>
              </w:rPr>
              <w:t>We_D</w:t>
            </w:r>
          </w:p>
        </w:tc>
        <w:tc>
          <w:tcPr>
            <w:tcW w:type="dxa" w:w="2160"/>
          </w:tcPr>
          <w:p>
            <w:pPr>
              <w:spacing w:line="240" w:lineRule="auto" w:after="40"/>
            </w:pPr>
            <w:r>
              <w:rPr>
                <w:sz w:val="20"/>
              </w:rPr>
            </w:r>
            <w:r>
              <w:rPr>
                <w:rFonts w:ascii="Consolas" w:hAnsi="Consolas"/>
                <w:sz w:val="20"/>
              </w:rPr>
              <w:t>G²D/(ρ_f σ)</w:t>
            </w:r>
          </w:p>
        </w:tc>
        <w:tc>
          <w:tcPr>
            <w:tcW w:type="dxa" w:w="2160"/>
          </w:tcPr>
          <w:p>
            <w:pPr>
              <w:spacing w:line="240" w:lineRule="auto" w:after="40"/>
            </w:pPr>
            <w:r>
              <w:rPr>
                <w:sz w:val="20"/>
              </w:rPr>
            </w:r>
            <w:r>
              <w:rPr>
                <w:sz w:val="20"/>
              </w:rPr>
              <w:t>Flow inertia vs. surface tension</w:t>
            </w:r>
          </w:p>
        </w:tc>
        <w:tc>
          <w:tcPr>
            <w:tcW w:type="dxa" w:w="2160"/>
          </w:tcPr>
          <w:p>
            <w:pPr>
              <w:spacing w:line="240" w:lineRule="auto" w:after="40"/>
            </w:pPr>
            <w:r>
              <w:rPr>
                <w:sz w:val="20"/>
              </w:rPr>
            </w:r>
            <w:r>
              <w:rPr>
                <w:sz w:val="20"/>
              </w:rPr>
              <w:t xml:space="preserve">Hall &amp; Mudawar </w:t>
            </w:r>
            <w:r>
              <w:rPr>
                <w:b/>
                <w:sz w:val="20"/>
              </w:rPr>
              <w:t>[V]</w:t>
            </w:r>
          </w:p>
        </w:tc>
      </w:tr>
      <w:tr>
        <w:tc>
          <w:tcPr>
            <w:tcW w:type="dxa" w:w="2160"/>
          </w:tcPr>
          <w:p>
            <w:pPr>
              <w:spacing w:line="240" w:lineRule="auto" w:after="40"/>
            </w:pPr>
            <w:r>
              <w:rPr>
                <w:sz w:val="20"/>
              </w:rPr>
            </w:r>
            <w:r>
              <w:rPr>
                <w:b/>
                <w:sz w:val="20"/>
              </w:rPr>
              <w:t>Katto number</w:t>
            </w:r>
          </w:p>
        </w:tc>
        <w:tc>
          <w:tcPr>
            <w:tcW w:type="dxa" w:w="2160"/>
          </w:tcPr>
          <w:p>
            <w:pPr>
              <w:spacing w:line="240" w:lineRule="auto" w:after="40"/>
            </w:pPr>
            <w:r>
              <w:rPr>
                <w:sz w:val="20"/>
              </w:rPr>
            </w:r>
            <w:r>
              <w:rPr>
                <w:rFonts w:ascii="Consolas" w:hAnsi="Consolas"/>
                <w:sz w:val="20"/>
              </w:rPr>
              <w:t>σρ_f/(G²L)</w:t>
            </w:r>
          </w:p>
        </w:tc>
        <w:tc>
          <w:tcPr>
            <w:tcW w:type="dxa" w:w="2160"/>
          </w:tcPr>
          <w:p>
            <w:pPr>
              <w:spacing w:line="240" w:lineRule="auto" w:after="40"/>
            </w:pPr>
            <w:r>
              <w:rPr>
                <w:sz w:val="20"/>
              </w:rPr>
            </w:r>
            <w:r>
              <w:rPr>
                <w:sz w:val="20"/>
              </w:rPr>
              <w:t>Inverse Weber on heated length</w:t>
            </w:r>
          </w:p>
        </w:tc>
        <w:tc>
          <w:tcPr>
            <w:tcW w:type="dxa" w:w="2160"/>
          </w:tcPr>
          <w:p>
            <w:pPr>
              <w:spacing w:line="240" w:lineRule="auto" w:after="40"/>
            </w:pPr>
            <w:r>
              <w:rPr>
                <w:sz w:val="20"/>
              </w:rPr>
            </w:r>
            <w:r>
              <w:rPr>
                <w:sz w:val="20"/>
              </w:rPr>
              <w:t xml:space="preserve">Katto &amp; Ohno </w:t>
            </w:r>
            <w:r>
              <w:rPr>
                <w:b/>
                <w:sz w:val="20"/>
              </w:rPr>
              <w:t>[V]</w:t>
            </w:r>
          </w:p>
        </w:tc>
      </w:tr>
      <w:tr>
        <w:tc>
          <w:tcPr>
            <w:tcW w:type="dxa" w:w="2160"/>
          </w:tcPr>
          <w:p>
            <w:pPr>
              <w:spacing w:line="240" w:lineRule="auto" w:after="40"/>
            </w:pPr>
            <w:r>
              <w:rPr>
                <w:sz w:val="20"/>
              </w:rPr>
            </w:r>
            <w:r>
              <w:rPr>
                <w:b/>
                <w:sz w:val="20"/>
              </w:rPr>
              <w:t>Density ratio</w:t>
            </w:r>
          </w:p>
        </w:tc>
        <w:tc>
          <w:tcPr>
            <w:tcW w:type="dxa" w:w="2160"/>
          </w:tcPr>
          <w:p>
            <w:pPr>
              <w:spacing w:line="240" w:lineRule="auto" w:after="40"/>
            </w:pPr>
            <w:r>
              <w:rPr>
                <w:sz w:val="20"/>
              </w:rPr>
            </w:r>
            <w:r>
              <w:rPr>
                <w:rFonts w:ascii="Consolas" w:hAnsi="Consolas"/>
                <w:sz w:val="20"/>
              </w:rPr>
              <w:t>ρ_f/ρ_g</w:t>
            </w:r>
            <w:r>
              <w:rPr>
                <w:sz w:val="20"/>
              </w:rPr>
              <w:t xml:space="preserve"> or </w:t>
            </w:r>
            <w:r>
              <w:rPr>
                <w:rFonts w:ascii="Consolas" w:hAnsi="Consolas"/>
                <w:sz w:val="20"/>
              </w:rPr>
              <w:t>ρ_g/ρ_f</w:t>
            </w:r>
          </w:p>
        </w:tc>
        <w:tc>
          <w:tcPr>
            <w:tcW w:type="dxa" w:w="2160"/>
          </w:tcPr>
          <w:p>
            <w:pPr>
              <w:spacing w:line="240" w:lineRule="auto" w:after="40"/>
            </w:pPr>
            <w:r>
              <w:rPr>
                <w:sz w:val="20"/>
              </w:rPr>
            </w:r>
            <w:r>
              <w:rPr>
                <w:sz w:val="20"/>
              </w:rPr>
              <w:t>Proxy for reduced pressure; sets regime boundaries</w:t>
            </w:r>
          </w:p>
        </w:tc>
        <w:tc>
          <w:tcPr>
            <w:tcW w:type="dxa" w:w="2160"/>
          </w:tcPr>
          <w:p>
            <w:pPr>
              <w:spacing w:line="240" w:lineRule="auto" w:after="40"/>
            </w:pPr>
            <w:r>
              <w:rPr>
                <w:sz w:val="20"/>
              </w:rPr>
            </w:r>
            <w:r>
              <w:rPr>
                <w:sz w:val="20"/>
              </w:rPr>
              <w:t xml:space="preserve">multiple </w:t>
            </w:r>
            <w:r>
              <w:rPr>
                <w:b/>
                <w:sz w:val="20"/>
              </w:rPr>
              <w:t>[V]</w:t>
            </w:r>
          </w:p>
        </w:tc>
      </w:tr>
      <w:tr>
        <w:tc>
          <w:tcPr>
            <w:tcW w:type="dxa" w:w="2160"/>
          </w:tcPr>
          <w:p>
            <w:pPr>
              <w:spacing w:line="240" w:lineRule="auto" w:after="40"/>
            </w:pPr>
            <w:r>
              <w:rPr>
                <w:sz w:val="20"/>
              </w:rPr>
            </w:r>
            <w:r>
              <w:rPr>
                <w:b/>
                <w:sz w:val="20"/>
              </w:rPr>
              <w:t>Reduced pressure</w:t>
            </w:r>
          </w:p>
        </w:tc>
        <w:tc>
          <w:tcPr>
            <w:tcW w:type="dxa" w:w="2160"/>
          </w:tcPr>
          <w:p>
            <w:pPr>
              <w:spacing w:line="240" w:lineRule="auto" w:after="40"/>
            </w:pPr>
            <w:r>
              <w:rPr>
                <w:sz w:val="20"/>
              </w:rPr>
            </w:r>
            <w:r>
              <w:rPr>
                <w:rFonts w:ascii="Consolas" w:hAnsi="Consolas"/>
                <w:sz w:val="20"/>
              </w:rPr>
              <w:t>P/P_crit</w:t>
            </w:r>
          </w:p>
        </w:tc>
        <w:tc>
          <w:tcPr>
            <w:tcW w:type="dxa" w:w="2160"/>
          </w:tcPr>
          <w:p>
            <w:pPr>
              <w:spacing w:line="240" w:lineRule="auto" w:after="40"/>
            </w:pPr>
            <w:r>
              <w:rPr>
                <w:sz w:val="20"/>
              </w:rPr>
            </w:r>
            <w:r>
              <w:rPr>
                <w:sz w:val="20"/>
              </w:rPr>
              <w:t>Property-collapse coordinate</w:t>
            </w:r>
          </w:p>
        </w:tc>
        <w:tc>
          <w:tcPr>
            <w:tcW w:type="dxa" w:w="2160"/>
          </w:tcPr>
          <w:p>
            <w:pPr>
              <w:spacing w:line="240" w:lineRule="auto" w:after="40"/>
            </w:pPr>
            <w:r>
              <w:rPr>
                <w:sz w:val="20"/>
              </w:rPr>
            </w:r>
            <w:r>
              <w:rPr>
                <w:sz w:val="20"/>
              </w:rPr>
              <w:t xml:space="preserve">multiple </w:t>
            </w:r>
            <w:r>
              <w:rPr>
                <w:b/>
                <w:sz w:val="20"/>
              </w:rPr>
              <w:t>[V]</w:t>
            </w:r>
          </w:p>
        </w:tc>
      </w:tr>
      <w:tr>
        <w:tc>
          <w:tcPr>
            <w:tcW w:type="dxa" w:w="2160"/>
          </w:tcPr>
          <w:p>
            <w:pPr>
              <w:spacing w:line="240" w:lineRule="auto" w:after="40"/>
            </w:pPr>
            <w:r>
              <w:rPr>
                <w:sz w:val="20"/>
              </w:rPr>
            </w:r>
            <w:r>
              <w:rPr>
                <w:b/>
                <w:sz w:val="20"/>
              </w:rPr>
              <w:t>Capillary length</w:t>
            </w:r>
          </w:p>
        </w:tc>
        <w:tc>
          <w:tcPr>
            <w:tcW w:type="dxa" w:w="2160"/>
          </w:tcPr>
          <w:p>
            <w:pPr>
              <w:spacing w:line="240" w:lineRule="auto" w:after="40"/>
            </w:pPr>
            <w:r>
              <w:rPr>
                <w:sz w:val="20"/>
              </w:rPr>
            </w:r>
            <w:r>
              <w:rPr>
                <w:rFonts w:ascii="Consolas" w:hAnsi="Consolas"/>
                <w:sz w:val="20"/>
              </w:rPr>
              <w:t>[σ/(g(ρ_f−ρ_g))]^{1/2}</w:t>
            </w:r>
          </w:p>
        </w:tc>
        <w:tc>
          <w:tcPr>
            <w:tcW w:type="dxa" w:w="2160"/>
          </w:tcPr>
          <w:p>
            <w:pPr>
              <w:spacing w:line="240" w:lineRule="auto" w:after="40"/>
            </w:pPr>
            <w:r>
              <w:rPr>
                <w:sz w:val="20"/>
              </w:rPr>
            </w:r>
            <w:r>
              <w:rPr>
                <w:sz w:val="20"/>
              </w:rPr>
              <w:t>Bubble/instability length scale</w:t>
            </w:r>
          </w:p>
        </w:tc>
        <w:tc>
          <w:tcPr>
            <w:tcW w:type="dxa" w:w="2160"/>
          </w:tcPr>
          <w:p>
            <w:pPr>
              <w:spacing w:line="240" w:lineRule="auto" w:after="40"/>
            </w:pPr>
            <w:r>
              <w:rPr>
                <w:sz w:val="20"/>
              </w:rPr>
            </w:r>
            <w:r>
              <w:rPr>
                <w:sz w:val="20"/>
              </w:rPr>
              <w:t xml:space="preserve">Kutateladze </w:t>
            </w:r>
            <w:r>
              <w:rPr>
                <w:b/>
                <w:sz w:val="20"/>
              </w:rPr>
              <w:t>[V]</w:t>
            </w:r>
          </w:p>
        </w:tc>
      </w:tr>
      <w:tr>
        <w:tc>
          <w:tcPr>
            <w:tcW w:type="dxa" w:w="2160"/>
          </w:tcPr>
          <w:p>
            <w:pPr>
              <w:spacing w:line="240" w:lineRule="auto" w:after="40"/>
            </w:pPr>
            <w:r>
              <w:rPr>
                <w:sz w:val="20"/>
              </w:rPr>
            </w:r>
            <w:r>
              <w:rPr>
                <w:b/>
                <w:sz w:val="20"/>
              </w:rPr>
              <w:t>Bond number</w:t>
            </w:r>
          </w:p>
        </w:tc>
        <w:tc>
          <w:tcPr>
            <w:tcW w:type="dxa" w:w="2160"/>
          </w:tcPr>
          <w:p>
            <w:pPr>
              <w:spacing w:line="240" w:lineRule="auto" w:after="40"/>
            </w:pPr>
            <w:r>
              <w:rPr>
                <w:sz w:val="20"/>
              </w:rPr>
            </w:r>
            <w:r>
              <w:rPr>
                <w:rFonts w:ascii="Consolas" w:hAnsi="Consolas"/>
                <w:sz w:val="20"/>
              </w:rPr>
              <w:t>Bo_d = (ρ_l−ρ_g) g d²/σ</w:t>
            </w:r>
          </w:p>
        </w:tc>
        <w:tc>
          <w:tcPr>
            <w:tcW w:type="dxa" w:w="2160"/>
          </w:tcPr>
          <w:p>
            <w:pPr>
              <w:spacing w:line="240" w:lineRule="auto" w:after="40"/>
            </w:pPr>
            <w:r>
              <w:rPr>
                <w:sz w:val="20"/>
              </w:rPr>
            </w:r>
            <w:r>
              <w:rPr>
                <w:sz w:val="20"/>
              </w:rPr>
              <w:t>Buoyancy vs. surface tension</w:t>
            </w:r>
          </w:p>
        </w:tc>
        <w:tc>
          <w:tcPr>
            <w:tcW w:type="dxa" w:w="2160"/>
          </w:tcPr>
          <w:p>
            <w:pPr>
              <w:spacing w:line="240" w:lineRule="auto" w:after="40"/>
            </w:pPr>
            <w:r>
              <w:rPr>
                <w:sz w:val="20"/>
              </w:rPr>
            </w:r>
            <w:r>
              <w:rPr>
                <w:sz w:val="20"/>
              </w:rPr>
              <w:t xml:space="preserve">Merilo, via Hardik &amp; Prabhu </w:t>
            </w:r>
            <w:r>
              <w:rPr>
                <w:b/>
                <w:sz w:val="20"/>
              </w:rPr>
              <w:t>[V]</w:t>
            </w:r>
          </w:p>
        </w:tc>
      </w:tr>
      <w:tr>
        <w:tc>
          <w:tcPr>
            <w:tcW w:type="dxa" w:w="2160"/>
          </w:tcPr>
          <w:p>
            <w:pPr>
              <w:spacing w:line="240" w:lineRule="auto" w:after="40"/>
            </w:pPr>
            <w:r>
              <w:rPr>
                <w:sz w:val="20"/>
              </w:rPr>
            </w:r>
            <w:r>
              <w:rPr>
                <w:b/>
                <w:sz w:val="20"/>
              </w:rPr>
              <w:t>Jakob number</w:t>
            </w:r>
          </w:p>
        </w:tc>
        <w:tc>
          <w:tcPr>
            <w:tcW w:type="dxa" w:w="2160"/>
          </w:tcPr>
          <w:p>
            <w:pPr>
              <w:spacing w:line="240" w:lineRule="auto" w:after="40"/>
            </w:pPr>
            <w:r>
              <w:rPr>
                <w:sz w:val="20"/>
              </w:rPr>
            </w:r>
            <w:r>
              <w:rPr>
                <w:rFonts w:ascii="Consolas" w:hAnsi="Consolas"/>
                <w:sz w:val="20"/>
              </w:rPr>
              <w:t>Ja = ρ_f c_p ΔT_sub/(ρ_g h_fg)</w:t>
            </w:r>
          </w:p>
        </w:tc>
        <w:tc>
          <w:tcPr>
            <w:tcW w:type="dxa" w:w="2160"/>
          </w:tcPr>
          <w:p>
            <w:pPr>
              <w:spacing w:line="240" w:lineRule="auto" w:after="40"/>
            </w:pPr>
            <w:r>
              <w:rPr>
                <w:sz w:val="20"/>
              </w:rPr>
            </w:r>
            <w:r>
              <w:rPr>
                <w:sz w:val="20"/>
              </w:rPr>
              <w:t>Sensible vs. latent capacity (subcooling)</w:t>
            </w:r>
          </w:p>
        </w:tc>
        <w:tc>
          <w:tcPr>
            <w:tcW w:type="dxa" w:w="2160"/>
          </w:tcPr>
          <w:p>
            <w:pPr>
              <w:spacing w:line="240" w:lineRule="auto" w:after="40"/>
            </w:pPr>
            <w:r>
              <w:rPr>
                <w:sz w:val="20"/>
              </w:rPr>
            </w:r>
            <w:r>
              <w:rPr>
                <w:sz w:val="20"/>
              </w:rPr>
              <w:t xml:space="preserve">present in </w:t>
            </w:r>
            <w:r>
              <w:rPr>
                <w:rFonts w:ascii="Consolas" w:hAnsi="Consolas"/>
                <w:sz w:val="20"/>
              </w:rPr>
              <w:t>master_chf_dataset.csv</w:t>
            </w:r>
            <w:r>
              <w:rPr>
                <w:sz w:val="20"/>
              </w:rPr>
              <w:t xml:space="preserve"> col </w:t>
            </w:r>
            <w:r>
              <w:rPr>
                <w:rFonts w:ascii="Consolas" w:hAnsi="Consolas"/>
                <w:sz w:val="20"/>
              </w:rPr>
              <w:t>ja</w:t>
            </w:r>
          </w:p>
        </w:tc>
      </w:tr>
      <w:tr>
        <w:tc>
          <w:tcPr>
            <w:tcW w:type="dxa" w:w="2160"/>
          </w:tcPr>
          <w:p>
            <w:pPr>
              <w:spacing w:line="240" w:lineRule="auto" w:after="40"/>
            </w:pPr>
            <w:r>
              <w:rPr>
                <w:sz w:val="20"/>
              </w:rPr>
            </w:r>
            <w:r>
              <w:rPr>
                <w:b/>
                <w:sz w:val="20"/>
              </w:rPr>
              <w:t>Kandlikar</w:t>
            </w:r>
            <w:r>
              <w:rPr>
                <w:sz w:val="20"/>
              </w:rPr>
              <w:t xml:space="preserve"> </w:t>
            </w:r>
            <w:r>
              <w:rPr>
                <w:rFonts w:ascii="Consolas" w:hAnsi="Consolas"/>
                <w:sz w:val="20"/>
              </w:rPr>
              <w:t>K₁</w:t>
            </w:r>
          </w:p>
        </w:tc>
        <w:tc>
          <w:tcPr>
            <w:tcW w:type="dxa" w:w="2160"/>
          </w:tcPr>
          <w:p>
            <w:pPr>
              <w:spacing w:line="240" w:lineRule="auto" w:after="40"/>
            </w:pPr>
            <w:r>
              <w:rPr>
                <w:sz w:val="20"/>
              </w:rPr>
            </w:r>
            <w:r>
              <w:rPr>
                <w:rFonts w:ascii="Consolas" w:hAnsi="Consolas"/>
                <w:sz w:val="20"/>
              </w:rPr>
              <w:t>(q″/(G h_fg))² · (ρ_f/ρ_g)</w:t>
            </w:r>
          </w:p>
        </w:tc>
        <w:tc>
          <w:tcPr>
            <w:tcW w:type="dxa" w:w="2160"/>
          </w:tcPr>
          <w:p>
            <w:pPr>
              <w:spacing w:line="240" w:lineRule="auto" w:after="40"/>
            </w:pPr>
            <w:r>
              <w:rPr>
                <w:sz w:val="20"/>
              </w:rPr>
            </w:r>
            <w:r>
              <w:rPr>
                <w:sz w:val="20"/>
              </w:rPr>
              <w:t>Evaporation momentum vs. inertia</w:t>
            </w:r>
          </w:p>
        </w:tc>
        <w:tc>
          <w:tcPr>
            <w:tcW w:type="dxa" w:w="2160"/>
          </w:tcPr>
          <w:p>
            <w:pPr>
              <w:spacing w:line="240" w:lineRule="auto" w:after="40"/>
            </w:pPr>
            <w:r>
              <w:rPr>
                <w:sz w:val="20"/>
              </w:rPr>
            </w:r>
            <w:r>
              <w:rPr>
                <w:sz w:val="20"/>
              </w:rPr>
              <w:t xml:space="preserve">Kandlikar </w:t>
            </w:r>
            <w:r>
              <w:rPr>
                <w:b/>
                <w:sz w:val="20"/>
              </w:rPr>
              <w:t>[S]</w:t>
            </w:r>
          </w:p>
        </w:tc>
      </w:tr>
      <w:tr>
        <w:tc>
          <w:tcPr>
            <w:tcW w:type="dxa" w:w="2160"/>
          </w:tcPr>
          <w:p>
            <w:pPr>
              <w:spacing w:line="240" w:lineRule="auto" w:after="40"/>
            </w:pPr>
            <w:r>
              <w:rPr>
                <w:sz w:val="20"/>
              </w:rPr>
            </w:r>
            <w:r>
              <w:rPr>
                <w:b/>
                <w:sz w:val="20"/>
              </w:rPr>
              <w:t>Kandlikar</w:t>
            </w:r>
            <w:r>
              <w:rPr>
                <w:sz w:val="20"/>
              </w:rPr>
              <w:t xml:space="preserve"> </w:t>
            </w:r>
            <w:r>
              <w:rPr>
                <w:rFonts w:ascii="Consolas" w:hAnsi="Consolas"/>
                <w:sz w:val="20"/>
              </w:rPr>
              <w:t>K₂</w:t>
            </w:r>
          </w:p>
        </w:tc>
        <w:tc>
          <w:tcPr>
            <w:tcW w:type="dxa" w:w="2160"/>
          </w:tcPr>
          <w:p>
            <w:pPr>
              <w:spacing w:line="240" w:lineRule="auto" w:after="40"/>
            </w:pPr>
            <w:r>
              <w:rPr>
                <w:sz w:val="20"/>
              </w:rPr>
            </w:r>
            <w:r>
              <w:rPr>
                <w:rFonts w:ascii="Consolas" w:hAnsi="Consolas"/>
                <w:sz w:val="20"/>
              </w:rPr>
              <w:t>(q″/h_fg)² · D/(ρ_g σ)</w:t>
            </w:r>
          </w:p>
        </w:tc>
        <w:tc>
          <w:tcPr>
            <w:tcW w:type="dxa" w:w="2160"/>
          </w:tcPr>
          <w:p>
            <w:pPr>
              <w:spacing w:line="240" w:lineRule="auto" w:after="40"/>
            </w:pPr>
            <w:r>
              <w:rPr>
                <w:sz w:val="20"/>
              </w:rPr>
            </w:r>
            <w:r>
              <w:rPr>
                <w:sz w:val="20"/>
              </w:rPr>
              <w:t>Evaporation momentum vs. surface tension</w:t>
            </w:r>
          </w:p>
        </w:tc>
        <w:tc>
          <w:tcPr>
            <w:tcW w:type="dxa" w:w="2160"/>
          </w:tcPr>
          <w:p>
            <w:pPr>
              <w:spacing w:line="240" w:lineRule="auto" w:after="40"/>
            </w:pPr>
            <w:r>
              <w:rPr>
                <w:sz w:val="20"/>
              </w:rPr>
            </w:r>
            <w:r>
              <w:rPr>
                <w:sz w:val="20"/>
              </w:rPr>
              <w:t xml:space="preserve">Kandlikar </w:t>
            </w:r>
            <w:r>
              <w:rPr>
                <w:b/>
                <w:sz w:val="20"/>
              </w:rPr>
              <w:t>[S]</w:t>
            </w:r>
          </w:p>
        </w:tc>
      </w:tr>
      <w:tr>
        <w:tc>
          <w:tcPr>
            <w:tcW w:type="dxa" w:w="2160"/>
          </w:tcPr>
          <w:p>
            <w:pPr>
              <w:spacing w:line="240" w:lineRule="auto" w:after="40"/>
            </w:pPr>
            <w:r>
              <w:rPr>
                <w:sz w:val="20"/>
              </w:rPr>
            </w:r>
            <w:r>
              <w:rPr>
                <w:b/>
                <w:sz w:val="20"/>
              </w:rPr>
              <w:t>Thermal activity</w:t>
            </w:r>
            <w:r>
              <w:rPr>
                <w:sz w:val="20"/>
              </w:rPr>
              <w:t xml:space="preserve"> </w:t>
            </w:r>
            <w:r>
              <w:rPr>
                <w:rFonts w:ascii="Consolas" w:hAnsi="Consolas"/>
                <w:sz w:val="20"/>
              </w:rPr>
              <w:t>S</w:t>
            </w:r>
          </w:p>
        </w:tc>
        <w:tc>
          <w:tcPr>
            <w:tcW w:type="dxa" w:w="2160"/>
          </w:tcPr>
          <w:p>
            <w:pPr>
              <w:spacing w:line="240" w:lineRule="auto" w:after="40"/>
            </w:pPr>
            <w:r>
              <w:rPr>
                <w:sz w:val="20"/>
              </w:rPr>
            </w:r>
            <w:r>
              <w:rPr>
                <w:rFonts w:ascii="Consolas" w:hAnsi="Consolas"/>
                <w:sz w:val="20"/>
              </w:rPr>
              <w:t>H·√((ρ c_p k)_w)</w:t>
            </w:r>
          </w:p>
        </w:tc>
        <w:tc>
          <w:tcPr>
            <w:tcW w:type="dxa" w:w="2160"/>
          </w:tcPr>
          <w:p>
            <w:pPr>
              <w:spacing w:line="240" w:lineRule="auto" w:after="40"/>
            </w:pPr>
            <w:r>
              <w:rPr>
                <w:sz w:val="20"/>
              </w:rPr>
            </w:r>
            <w:r>
              <w:rPr>
                <w:sz w:val="20"/>
              </w:rPr>
              <w:t>Wall thermal inertia per unit area</w:t>
            </w:r>
          </w:p>
        </w:tc>
        <w:tc>
          <w:tcPr>
            <w:tcW w:type="dxa" w:w="2160"/>
          </w:tcPr>
          <w:p>
            <w:pPr>
              <w:spacing w:line="240" w:lineRule="auto" w:after="40"/>
            </w:pPr>
            <w:r>
              <w:rPr>
                <w:sz w:val="20"/>
              </w:rPr>
            </w:r>
            <w:r>
              <w:rPr>
                <w:sz w:val="20"/>
              </w:rPr>
              <w:t xml:space="preserve">Bar-Cohen &amp; McNeil </w:t>
            </w:r>
            <w:r>
              <w:rPr>
                <w:b/>
                <w:sz w:val="20"/>
              </w:rPr>
              <w:t>[V]</w:t>
            </w:r>
          </w:p>
        </w:tc>
      </w:tr>
      <w:tr>
        <w:tc>
          <w:tcPr>
            <w:tcW w:type="dxa" w:w="2160"/>
          </w:tcPr>
          <w:p>
            <w:pPr>
              <w:spacing w:line="240" w:lineRule="auto" w:after="40"/>
            </w:pPr>
            <w:r>
              <w:rPr>
                <w:sz w:val="20"/>
              </w:rPr>
            </w:r>
            <w:r>
              <w:rPr>
                <w:rFonts w:ascii="Consolas" w:hAnsi="Consolas"/>
                <w:sz w:val="20"/>
              </w:rPr>
              <w:t>L/D</w:t>
            </w:r>
          </w:p>
        </w:tc>
        <w:tc>
          <w:tcPr>
            <w:tcW w:type="dxa" w:w="2160"/>
          </w:tcPr>
          <w:p>
            <w:pPr>
              <w:spacing w:line="240" w:lineRule="auto" w:after="40"/>
            </w:pPr>
            <w:r>
              <w:rPr>
                <w:sz w:val="20"/>
              </w:rPr>
            </w:r>
            <w:r>
              <w:rPr>
                <w:sz w:val="20"/>
              </w:rPr>
              <w:t>—</w:t>
            </w:r>
          </w:p>
        </w:tc>
        <w:tc>
          <w:tcPr>
            <w:tcW w:type="dxa" w:w="2160"/>
          </w:tcPr>
          <w:p>
            <w:pPr>
              <w:spacing w:line="240" w:lineRule="auto" w:after="40"/>
            </w:pPr>
            <w:r>
              <w:rPr>
                <w:sz w:val="20"/>
              </w:rPr>
            </w:r>
            <w:r>
              <w:rPr>
                <w:sz w:val="20"/>
              </w:rPr>
              <w:t>Heated-length / history effect</w:t>
            </w:r>
          </w:p>
        </w:tc>
        <w:tc>
          <w:tcPr>
            <w:tcW w:type="dxa" w:w="2160"/>
          </w:tcPr>
          <w:p>
            <w:pPr>
              <w:spacing w:line="240" w:lineRule="auto" w:after="40"/>
            </w:pPr>
            <w:r>
              <w:rPr>
                <w:sz w:val="20"/>
              </w:rPr>
            </w:r>
            <w:r>
              <w:rPr>
                <w:sz w:val="20"/>
              </w:rPr>
              <w:t xml:space="preserve">multiple </w:t>
            </w:r>
            <w:r>
              <w:rPr>
                <w:b/>
                <w:sz w:val="20"/>
              </w:rPr>
              <w:t>[V]</w:t>
            </w:r>
          </w:p>
        </w:tc>
      </w:tr>
      <w:tr>
        <w:tc>
          <w:tcPr>
            <w:tcW w:type="dxa" w:w="2160"/>
          </w:tcPr>
          <w:p>
            <w:pPr>
              <w:spacing w:line="240" w:lineRule="auto" w:after="40"/>
            </w:pPr>
            <w:r>
              <w:rPr>
                <w:sz w:val="20"/>
              </w:rPr>
            </w:r>
            <w:r>
              <w:rPr>
                <w:rFonts w:ascii="Consolas" w:hAnsi="Consolas"/>
                <w:sz w:val="20"/>
              </w:rPr>
              <w:t>D/D_ref</w:t>
            </w:r>
          </w:p>
        </w:tc>
        <w:tc>
          <w:tcPr>
            <w:tcW w:type="dxa" w:w="2160"/>
          </w:tcPr>
          <w:p>
            <w:pPr>
              <w:spacing w:line="240" w:lineRule="auto" w:after="40"/>
            </w:pPr>
            <w:r>
              <w:rPr>
                <w:sz w:val="20"/>
              </w:rPr>
            </w:r>
            <w:r>
              <w:rPr>
                <w:rFonts w:ascii="Consolas" w:hAnsi="Consolas"/>
                <w:sz w:val="20"/>
              </w:rPr>
              <w:t>D/8mm</w:t>
            </w:r>
          </w:p>
        </w:tc>
        <w:tc>
          <w:tcPr>
            <w:tcW w:type="dxa" w:w="2160"/>
          </w:tcPr>
          <w:p>
            <w:pPr>
              <w:spacing w:line="240" w:lineRule="auto" w:after="40"/>
            </w:pPr>
            <w:r>
              <w:rPr>
                <w:sz w:val="20"/>
              </w:rPr>
            </w:r>
            <w:r>
              <w:rPr>
                <w:sz w:val="20"/>
              </w:rPr>
              <w:t>Diameter normalisation</w:t>
            </w:r>
          </w:p>
        </w:tc>
        <w:tc>
          <w:tcPr>
            <w:tcW w:type="dxa" w:w="2160"/>
          </w:tcPr>
          <w:p>
            <w:pPr>
              <w:spacing w:line="240" w:lineRule="auto" w:after="40"/>
            </w:pPr>
            <w:r>
              <w:rPr>
                <w:sz w:val="20"/>
              </w:rPr>
            </w:r>
            <w:r>
              <w:rPr>
                <w:sz w:val="20"/>
              </w:rPr>
              <w:t xml:space="preserve">Groeneveld LUT </w:t>
            </w:r>
            <w:r>
              <w:rPr>
                <w:b/>
                <w:sz w:val="20"/>
              </w:rPr>
              <w:t>[V]</w:t>
            </w:r>
          </w:p>
        </w:tc>
      </w:tr>
    </w:tbl>
    <w:p/>
    <w:p>
      <w:pPr>
        <w:jc w:val="both"/>
      </w:pPr>
      <w:r>
        <w:t xml:space="preserve">Kandlikar's interrelations </w:t>
      </w:r>
      <w:r>
        <w:rPr>
          <w:b/>
        </w:rPr>
        <w:t>[S]</w:t>
      </w:r>
      <w:r>
        <w:t xml:space="preserve">: </w:t>
      </w:r>
      <w:r>
        <w:rPr>
          <w:rFonts w:ascii="Consolas" w:hAnsi="Consolas"/>
          <w:sz w:val="21"/>
        </w:rPr>
        <w:t>K₂/K₁ = We</w:t>
      </w:r>
      <w:r>
        <w:t xml:space="preserve">, </w:t>
      </w:r>
      <w:r>
        <w:rPr>
          <w:rFonts w:ascii="Consolas" w:hAnsi="Consolas"/>
          <w:sz w:val="21"/>
        </w:rPr>
        <w:t>K₃/K₁ = Re</w:t>
      </w:r>
      <w:r>
        <w:t xml:space="preserve">, </w:t>
      </w:r>
      <w:r>
        <w:rPr>
          <w:rFonts w:ascii="Consolas" w:hAnsi="Consolas"/>
          <w:sz w:val="21"/>
        </w:rPr>
        <w:t>K₂/K₃ = Ca</w:t>
      </w:r>
      <w:r>
        <w:t xml:space="preserve">, where </w:t>
      </w:r>
      <w:r>
        <w:rPr>
          <w:rFonts w:ascii="Consolas" w:hAnsi="Consolas"/>
          <w:sz w:val="21"/>
        </w:rPr>
        <w:t>K₃</w:t>
      </w:r>
    </w:p>
    <w:p>
      <w:pPr>
        <w:jc w:val="both"/>
      </w:pPr>
      <w:r>
        <w:t>is evaporation momentum over viscous force. The general dimensionless statement of a tube</w:t>
      </w:r>
    </w:p>
    <w:p>
      <w:pPr>
        <w:jc w:val="both"/>
      </w:pPr>
      <w:r>
        <w:t xml:space="preserve">CHF correlation, from NUREG/KM-0011 §3.1 </w:t>
      </w:r>
      <w:r>
        <w:rPr>
          <w:b/>
        </w:rPr>
        <w:t>[V]</w:t>
      </w:r>
      <w:r>
        <w:t>:</w:t>
      </w:r>
    </w:p>
    <w:p>
      <w:pPr>
        <w:spacing w:line="240" w:lineRule="auto" w:after="200" w:before="120"/>
        <w:ind w:left="360"/>
      </w:pPr>
      <w:r>
        <w:rPr>
          <w:rFonts w:ascii="Consolas" w:hAnsi="Consolas"/>
          <w:sz w:val="18"/>
        </w:rPr>
        <w:t xml:space="preserve">  CHF                ⎛ ρ_f        D^0.5              D    ⎞</w:t>
        <w:br/>
        <w:t>─────────  =  f      ⎜ ───  ,  ───────────  ,  x  ,  ──── ⎟</w:t>
        <w:br/>
        <w:t xml:space="preserve"> h_fg G              ⎝ ρ_g     (σρ_f)^0.5           D_ref ⎠</w:t>
      </w:r>
    </w:p>
    <w:p>
      <w:pPr>
        <w:jc w:val="both"/>
      </w:pPr>
      <w:r>
        <w:t xml:space="preserve">i.e. </w:t>
      </w:r>
      <w:r>
        <w:rPr>
          <w:b/>
        </w:rPr>
        <w:t>Bo = f(density ratio, Weber-like group, quality, geometry ratio)</w:t>
      </w:r>
      <w:r>
        <w:t>.</w:t>
      </w:r>
    </w:p>
    <w:p>
      <w:pPr>
        <w:ind w:left="480" w:right="480"/>
      </w:pPr>
      <w:r>
        <w:rPr>
          <w:i/>
        </w:rPr>
        <w:t xml:space="preserve">This is the single most actionable equation in this document. It says the *correct* feature space for a generalised CHF model is four dimensionless numbers, not five dimensional ones. It is fluid-agnostic by construction: water and R123 map to the same point if their dimensionless groups match. Our current pipeline already takes a half-step toward this by training on </w:t>
      </w:r>
      <w:r>
        <w:rPr>
          <w:rFonts w:ascii="Consolas" w:hAnsi="Consolas"/>
          <w:i/>
          <w:sz w:val="21"/>
        </w:rPr>
        <w:t>log(CHF / physics_baseline)</w:t>
      </w:r>
      <w:r>
        <w:rPr>
          <w:i/>
        </w:rPr>
        <w:t xml:space="preserve"> — which is </w:t>
      </w:r>
      <w:r>
        <w:rPr>
          <w:rFonts w:ascii="Consolas" w:hAnsi="Consolas"/>
          <w:i/>
          <w:sz w:val="21"/>
        </w:rPr>
        <w:t>log(Bo/Bo_ref)</w:t>
      </w:r>
      <w:r>
        <w:rPr>
          <w:i/>
        </w:rPr>
        <w:t xml:space="preserve"> in disguise, and which is exactly what moved strategy-3 from R² = −16.4 to +0.22. Section 9 argues for taking the full step.</w:t>
      </w:r>
    </w:p>
    <w:p>
      <w:pPr>
        <w:jc w:val="center"/>
      </w:pPr>
      <w:r>
        <w:rPr>
          <w:sz w:val="20"/>
        </w:rPr>
        <w:t>• • •</w:t>
      </w:r>
    </w:p>
    <w:p>
      <w:pPr>
        <w:pStyle w:val="Heading2"/>
      </w:pPr>
      <w:r>
        <w:rPr>
          <w:rFonts w:ascii="Times New Roman" w:hAnsi="Times New Roman"/>
          <w:color w:val="000000"/>
        </w:rPr>
        <w:t>3. Pool boiling CHF — the five trigger mechanisms</w:t>
      </w:r>
    </w:p>
    <w:p>
      <w:pPr>
        <w:jc w:val="both"/>
      </w:pPr>
      <w:r>
        <w:t xml:space="preserve">Liang &amp; Mudawar 2018 §1.3 identify five competing mechanisms </w:t>
      </w:r>
      <w:r>
        <w:rPr>
          <w:b/>
        </w:rPr>
        <w:t>[V]</w:t>
      </w:r>
      <w:r>
        <w:t>. There is *still* no</w:t>
      </w:r>
    </w:p>
    <w:p>
      <w:pPr>
        <w:jc w:val="both"/>
      </w:pPr>
      <w:r>
        <w:t>consensus on which is correct — that lack of consensus is itself a research finding worth</w:t>
      </w:r>
    </w:p>
    <w:p>
      <w:pPr>
        <w:jc w:val="both"/>
      </w:pPr>
      <w:r>
        <w:t>stating in the paper.</w:t>
      </w:r>
    </w:p>
    <w:p>
      <w:pPr>
        <w:pStyle w:val="Heading3"/>
      </w:pPr>
      <w:r>
        <w:rPr>
          <w:rFonts w:ascii="Times New Roman" w:hAnsi="Times New Roman"/>
          <w:color w:val="000000"/>
        </w:rPr>
        <w:t>3.1 Bubble interference (Rohsenow &amp; Griffith 1955)</w:t>
      </w:r>
    </w:p>
    <w:p>
      <w:pPr>
        <w:jc w:val="both"/>
      </w:pPr>
      <w:r>
        <w:t xml:space="preserve">CHF when neighbouring isolated bubbles coalesce radially </w:t>
      </w:r>
      <w:r>
        <w:rPr>
          <w:b/>
        </w:rPr>
        <w:t>[V]</w:t>
      </w:r>
      <w:r>
        <w:t>:</w:t>
      </w:r>
    </w:p>
    <w:p>
      <w:pPr>
        <w:spacing w:line="240" w:lineRule="auto" w:after="200" w:before="120"/>
        <w:ind w:left="360"/>
      </w:pPr>
      <w:r>
        <w:rPr>
          <w:rFonts w:ascii="Consolas" w:hAnsi="Consolas"/>
          <w:sz w:val="18"/>
        </w:rPr>
        <w:t>q″_CHF = 0.012 · ρ_g · h_fg · [ (ρ_f − ρ_g)/ρ_g ]^0.6              (5)</w:t>
      </w:r>
    </w:p>
    <w:p>
      <w:pPr>
        <w:jc w:val="both"/>
      </w:pPr>
      <w:r>
        <w:t xml:space="preserve">Chang &amp; Snyder's variant, which introduces </w:t>
      </w:r>
      <w:r>
        <w:rPr>
          <w:b/>
        </w:rPr>
        <w:t>contact angle α</w:t>
      </w:r>
      <w:r>
        <w:t xml:space="preserve"> — historically the first</w:t>
      </w:r>
    </w:p>
    <w:p>
      <w:pPr>
        <w:jc w:val="both"/>
      </w:pPr>
      <w:r>
        <w:t xml:space="preserve">appearance of a surface property in a CHF model </w:t>
      </w:r>
      <w:r>
        <w:rPr>
          <w:b/>
        </w:rPr>
        <w:t>[V]</w:t>
      </w:r>
      <w:r>
        <w:t>:</w:t>
      </w:r>
    </w:p>
    <w:p>
      <w:pPr>
        <w:spacing w:line="240" w:lineRule="auto" w:after="200" w:before="120"/>
        <w:ind w:left="360"/>
      </w:pPr>
      <w:r>
        <w:rPr>
          <w:rFonts w:ascii="Consolas" w:hAnsi="Consolas"/>
          <w:sz w:val="18"/>
        </w:rPr>
        <w:t>q″_CHF = ½ (π/6)^(5/6) (0.0119 α)^(1/2) · ρ_g h_fg [2σg(ρ_f−ρ_g)/ρ_g²]^(1/4)   (6)</w:t>
      </w:r>
    </w:p>
    <w:p>
      <w:pPr>
        <w:jc w:val="both"/>
      </w:pPr>
      <w:r>
        <w:t>Both are undermined by later high-speed photography showing coalescence occurs *well</w:t>
      </w:r>
    </w:p>
    <w:p>
      <w:pPr>
        <w:jc w:val="both"/>
      </w:pPr>
      <w:r>
        <w:t>before* CHF.</w:t>
      </w:r>
    </w:p>
    <w:p>
      <w:pPr>
        <w:pStyle w:val="Heading3"/>
      </w:pPr>
      <w:r>
        <w:rPr>
          <w:rFonts w:ascii="Times New Roman" w:hAnsi="Times New Roman"/>
          <w:color w:val="000000"/>
        </w:rPr>
        <w:t>3.2 Zuber hydrodynamic instability (1959) — full derivation</w:t>
      </w:r>
    </w:p>
    <w:p>
      <w:pPr>
        <w:jc w:val="both"/>
      </w:pPr>
      <w:r>
        <w:t xml:space="preserve">The most influential CHF model ever published. Full chain from Liang &amp; Mudawar §3.1 </w:t>
      </w:r>
      <w:r>
        <w:rPr>
          <w:b/>
        </w:rPr>
        <w:t>[V]</w:t>
      </w:r>
      <w:r>
        <w:t>:</w:t>
      </w:r>
    </w:p>
    <w:p>
      <w:pPr>
        <w:jc w:val="both"/>
      </w:pPr>
      <w:r>
        <w:rPr>
          <w:b/>
        </w:rPr>
        <w:t>Geometry.</w:t>
      </w:r>
      <w:r>
        <w:t xml:space="preserve"> Vapour jets leave the surface at </w:t>
      </w:r>
      <w:r>
        <w:rPr>
          <w:rFonts w:ascii="Consolas" w:hAnsi="Consolas"/>
          <w:sz w:val="21"/>
        </w:rPr>
        <w:t>u_g</w:t>
      </w:r>
      <w:r>
        <w:t xml:space="preserve">; liquid returns between them at </w:t>
      </w:r>
      <w:r>
        <w:rPr>
          <w:rFonts w:ascii="Consolas" w:hAnsi="Consolas"/>
          <w:sz w:val="21"/>
        </w:rPr>
        <w:t>u_f</w:t>
      </w:r>
      <w:r>
        <w:t>.</w:t>
      </w:r>
    </w:p>
    <w:p>
      <w:pPr>
        <w:jc w:val="both"/>
      </w:pPr>
      <w:r>
        <w:t>The surface is modelled as repeating square cells, one jet each. Jet diameter is set by</w:t>
      </w:r>
    </w:p>
    <w:p>
      <w:pPr>
        <w:jc w:val="both"/>
      </w:pPr>
      <w:r>
        <w:rPr>
          <w:b/>
        </w:rPr>
        <w:t>Rayleigh–Taylor instability</w:t>
      </w:r>
      <w:r>
        <w:t xml:space="preserve">: </w:t>
      </w:r>
      <w:r>
        <w:rPr>
          <w:rFonts w:ascii="Consolas" w:hAnsi="Consolas"/>
          <w:sz w:val="21"/>
        </w:rPr>
        <w:t>D_j = λ_T/2</w:t>
      </w:r>
      <w:r>
        <w:t xml:space="preserve">, where </w:t>
      </w:r>
      <w:r>
        <w:rPr>
          <w:rFonts w:ascii="Consolas" w:hAnsi="Consolas"/>
          <w:sz w:val="21"/>
        </w:rPr>
        <w:t>λ_T</w:t>
      </w:r>
      <w:r>
        <w:t xml:space="preserve"> lies between:</w:t>
      </w:r>
    </w:p>
    <w:p>
      <w:pPr>
        <w:spacing w:line="240" w:lineRule="auto" w:after="200" w:before="120"/>
        <w:ind w:left="360"/>
      </w:pPr>
      <w:r>
        <w:rPr>
          <w:rFonts w:ascii="Consolas" w:hAnsi="Consolas"/>
          <w:sz w:val="18"/>
        </w:rPr>
        <w:t>critical wavelength:        λ_c = 2π √( σ / (g(ρ_f − ρ_g)) )              (7a)</w:t>
        <w:br/>
        <w:t>most dangerous wavelength:  λ_d = √3 · λ_c = 2π√3 √( σ/(g(ρ_f−ρ_g)) )     (7b)</w:t>
      </w:r>
    </w:p>
    <w:p>
      <w:pPr>
        <w:jc w:val="both"/>
      </w:pPr>
      <w:r>
        <w:rPr>
          <w:b/>
        </w:rPr>
        <w:t>Area ratio.</w:t>
      </w:r>
      <w:r>
        <w:t xml:space="preserve"> For a square cell of side </w:t>
      </w:r>
      <w:r>
        <w:rPr>
          <w:rFonts w:ascii="Consolas" w:hAnsi="Consolas"/>
          <w:sz w:val="21"/>
        </w:rPr>
        <w:t>λ_T</w:t>
      </w:r>
      <w:r>
        <w:t xml:space="preserve"> containing one jet of diameter </w:t>
      </w:r>
      <w:r>
        <w:rPr>
          <w:rFonts w:ascii="Consolas" w:hAnsi="Consolas"/>
          <w:sz w:val="21"/>
        </w:rPr>
        <w:t>λ_T/2</w:t>
      </w:r>
      <w:r>
        <w:t>:</w:t>
      </w:r>
    </w:p>
    <w:p>
      <w:pPr>
        <w:spacing w:line="240" w:lineRule="auto" w:after="200" w:before="120"/>
        <w:ind w:left="360"/>
      </w:pPr>
      <w:r>
        <w:rPr>
          <w:rFonts w:ascii="Consolas" w:hAnsi="Consolas"/>
          <w:sz w:val="18"/>
        </w:rPr>
        <w:t>A_g/A_w = π(λ_T/2)²/4 / λ_T² = π/16                                        (8)</w:t>
      </w:r>
    </w:p>
    <w:p>
      <w:pPr>
        <w:jc w:val="both"/>
      </w:pPr>
      <w:r>
        <w:rPr>
          <w:b/>
        </w:rPr>
        <w:t>Continuity.</w:t>
      </w:r>
    </w:p>
    <w:p>
      <w:pPr>
        <w:spacing w:line="240" w:lineRule="auto" w:after="200" w:before="120"/>
        <w:ind w:left="360"/>
      </w:pPr>
      <w:r>
        <w:rPr>
          <w:rFonts w:ascii="Consolas" w:hAnsi="Consolas"/>
          <w:sz w:val="18"/>
        </w:rPr>
        <w:t>u_f = (ρ_g/ρ_f) · [ (A_g/A_w)/(1 − A_g/A_w) ] · u_g</w:t>
        <w:br/>
        <w:t xml:space="preserve">    = (ρ_g/ρ_f) · [ π/(16 − π) ] · u_g                                     (9)</w:t>
      </w:r>
    </w:p>
    <w:p>
      <w:pPr>
        <w:jc w:val="both"/>
      </w:pPr>
      <w:r>
        <w:rPr>
          <w:b/>
        </w:rPr>
        <w:t>Energy.</w:t>
      </w:r>
      <w:r>
        <w:t xml:space="preserve"> All wall heat goes to vaporisation:</w:t>
      </w:r>
    </w:p>
    <w:p>
      <w:pPr>
        <w:spacing w:line="240" w:lineRule="auto" w:after="200" w:before="120"/>
        <w:ind w:left="360"/>
      </w:pPr>
      <w:r>
        <w:rPr>
          <w:rFonts w:ascii="Consolas" w:hAnsi="Consolas"/>
          <w:sz w:val="18"/>
        </w:rPr>
        <w:t>q″_CHF = (A_g/A_w) ρ_g h_fg u_g       ⟹      u_g = q″_CHF / ((π/16) ρ_g h_fg)   (10, 11)</w:t>
      </w:r>
    </w:p>
    <w:p>
      <w:pPr>
        <w:jc w:val="both"/>
      </w:pPr>
      <w:r>
        <w:rPr>
          <w:b/>
        </w:rPr>
        <w:t>Trigger — Kelvin–Helmholtz instability.</w:t>
      </w:r>
      <w:r>
        <w:t xml:space="preserve"> The velocity difference across the jet</w:t>
      </w:r>
    </w:p>
    <w:p>
      <w:pPr>
        <w:jc w:val="both"/>
      </w:pPr>
      <w:r>
        <w:t>interface destabilises it; growth merges adjacent jets into a vapour mushroom that blocks</w:t>
      </w:r>
    </w:p>
    <w:p>
      <w:pPr>
        <w:jc w:val="both"/>
      </w:pPr>
      <w:r>
        <w:t>liquid resupply:</w:t>
      </w:r>
    </w:p>
    <w:p>
      <w:pPr>
        <w:spacing w:line="240" w:lineRule="auto" w:after="200" w:before="120"/>
        <w:ind w:left="360"/>
      </w:pPr>
      <w:r>
        <w:rPr>
          <w:rFonts w:ascii="Consolas" w:hAnsi="Consolas"/>
          <w:sz w:val="18"/>
        </w:rPr>
        <w:t>u_g − (−u_f) = [ (ρ_f + ρ_g)/(ρ_f ρ_g) ]^(1/2) · ( 2πσ/λ_H )^(1/2)         (12)</w:t>
      </w:r>
    </w:p>
    <w:p>
      <w:pPr>
        <w:jc w:val="both"/>
      </w:pPr>
      <w:r>
        <w:t xml:space="preserve">with Zuber's closure </w:t>
      </w:r>
      <w:r>
        <w:rPr>
          <w:rFonts w:ascii="Consolas" w:hAnsi="Consolas"/>
          <w:sz w:val="21"/>
        </w:rPr>
        <w:t>λ_H = π D_j</w:t>
      </w:r>
      <w:r>
        <w:t xml:space="preserve"> (13).</w:t>
      </w:r>
    </w:p>
    <w:p>
      <w:pPr>
        <w:jc w:val="both"/>
      </w:pPr>
      <w:r>
        <w:rPr>
          <w:b/>
        </w:rPr>
        <w:t>Result.</w:t>
      </w:r>
      <w:r>
        <w:t xml:space="preserve"> Combining (7a)–(13) </w:t>
      </w:r>
      <w:r>
        <w:rPr>
          <w:b/>
        </w:rPr>
        <w:t>[V]</w:t>
      </w:r>
      <w:r>
        <w:t>:</w:t>
      </w:r>
    </w:p>
    <w:p>
      <w:pPr>
        <w:spacing w:line="240" w:lineRule="auto" w:after="200" w:before="120"/>
        <w:ind w:left="360"/>
      </w:pPr>
      <w:r>
        <w:rPr>
          <w:rFonts w:ascii="Consolas" w:hAnsi="Consolas"/>
          <w:sz w:val="18"/>
        </w:rPr>
        <w:t xml:space="preserve">        q″_CHF                       ⎡ π    3    1   ⎤   ⎡      (1 + ρ_g/ρ_f)^(1/2)  ⎤</w:t>
        <w:br/>
        <w:t>──────────────────────────────  =    ⎢ ── ───── ──── ⎥ · ⎢ ───────────────────────── ⎥</w:t>
        <w:br/>
        <w:t>ρ_g h_fg [σg(ρ_f−ρ_g)/ρ_g²]^(1/4)    ⎣ 24 √(2π)  3^¼ ⎦   ⎣    1 + ρ_g/ρ_f · π/(16−π) ⎦</w:t>
      </w:r>
    </w:p>
    <w:p>
      <w:pPr>
        <w:jc w:val="both"/>
      </w:pPr>
      <w:r>
        <w:t xml:space="preserve">The bracket range (from </w:t>
      </w:r>
      <w:r>
        <w:rPr>
          <w:rFonts w:ascii="Consolas" w:hAnsi="Consolas"/>
          <w:sz w:val="21"/>
        </w:rPr>
        <w:t>λ_c &lt; λ_T &lt; λ_d</w:t>
      </w:r>
      <w:r>
        <w:t xml:space="preserve">) gives </w:t>
      </w:r>
      <w:r>
        <w:rPr>
          <w:b/>
        </w:rPr>
        <w:t>K between 0.119 and 0.157</w:t>
      </w:r>
      <w:r>
        <w:t>; Zuber</w:t>
      </w:r>
    </w:p>
    <w:p>
      <w:pPr>
        <w:jc w:val="both"/>
      </w:pPr>
      <w:r>
        <w:t xml:space="preserve">recommended the intermediate </w:t>
      </w:r>
      <w:r>
        <w:rPr>
          <w:b/>
        </w:rPr>
        <w:t>K = 0.131</w:t>
      </w:r>
      <w:r>
        <w:t xml:space="preserve"> </w:t>
      </w:r>
      <w:r>
        <w:rPr>
          <w:b/>
        </w:rPr>
        <w:t>[V]</w:t>
      </w:r>
      <w:r>
        <w:t>:</w:t>
      </w:r>
    </w:p>
    <w:p>
      <w:pPr>
        <w:spacing w:line="240" w:lineRule="auto" w:after="200" w:before="120"/>
        <w:ind w:left="360"/>
      </w:pPr>
      <w:r>
        <w:rPr>
          <w:rFonts w:ascii="Consolas" w:hAnsi="Consolas"/>
          <w:sz w:val="18"/>
        </w:rPr>
        <w:t>q″_CHF = 0.131 · ρ_g h_fg [ σ g (ρ_f − ρ_g)/ρ_g² ]^(1/4)                  (15)</w:t>
      </w:r>
    </w:p>
    <w:p>
      <w:pPr>
        <w:jc w:val="both"/>
      </w:pPr>
      <w:r>
        <w:t xml:space="preserve">This is the </w:t>
      </w:r>
      <w:r>
        <w:rPr>
          <w:rFonts w:ascii="Consolas" w:hAnsi="Consolas"/>
          <w:sz w:val="21"/>
        </w:rPr>
        <w:t>zuber_pool_boiling_chf()</w:t>
      </w:r>
      <w:r>
        <w:t xml:space="preserve"> already implemented in </w:t>
      </w:r>
      <w:r>
        <w:rPr>
          <w:rFonts w:ascii="Consolas" w:hAnsi="Consolas"/>
          <w:sz w:val="21"/>
        </w:rPr>
        <w:t>scripts/chf_physics.py</w:t>
      </w:r>
    </w:p>
    <w:p>
      <w:pPr>
        <w:jc w:val="both"/>
      </w:pPr>
      <w:r>
        <w:t xml:space="preserve">and used as the pool-boiling half of </w:t>
      </w:r>
      <w:r>
        <w:rPr>
          <w:rFonts w:ascii="Consolas" w:hAnsi="Consolas"/>
          <w:sz w:val="21"/>
        </w:rPr>
        <w:t>compute_physics_baseline_kw_m2</w:t>
      </w:r>
      <w:r>
        <w:t xml:space="preserve"> in the unified</w:t>
      </w:r>
    </w:p>
    <w:p>
      <w:pPr>
        <w:jc w:val="both"/>
      </w:pPr>
      <w:r>
        <w:t>pipeline.</w:t>
      </w:r>
    </w:p>
    <w:p>
      <w:pPr>
        <w:jc w:val="both"/>
      </w:pPr>
      <w:r>
        <w:rPr>
          <w:b/>
        </w:rPr>
        <w:t>Note what Zuber's model does *not* contain: any surface property.</w:t>
      </w:r>
      <w:r>
        <w:t xml:space="preserve"> No contact angle,</w:t>
      </w:r>
    </w:p>
    <w:p>
      <w:pPr>
        <w:jc w:val="both"/>
      </w:pPr>
      <w:r>
        <w:t>no roughness, no material, no wettability. That absence is the launching point for the</w:t>
      </w:r>
    </w:p>
    <w:p>
      <w:pPr>
        <w:jc w:val="both"/>
      </w:pPr>
      <w:r>
        <w:t>entire engineered-surface literature (§4) and for the outline's Gap 1.</w:t>
      </w:r>
    </w:p>
    <w:p>
      <w:pPr>
        <w:pStyle w:val="Heading3"/>
      </w:pPr>
      <w:r>
        <w:rPr>
          <w:rFonts w:ascii="Times New Roman" w:hAnsi="Times New Roman"/>
          <w:color w:val="000000"/>
        </w:rPr>
        <w:t>3.3 Lienhard &amp; Dhir finite-size correction</w:t>
      </w:r>
    </w:p>
    <w:p>
      <w:pPr>
        <w:jc w:val="both"/>
      </w:pPr>
      <w:r>
        <w:t xml:space="preserve">Setting </w:t>
      </w:r>
      <w:r>
        <w:rPr>
          <w:rFonts w:ascii="Consolas" w:hAnsi="Consolas"/>
          <w:sz w:val="21"/>
        </w:rPr>
        <w:t>λ_H = λ_d</w:t>
      </w:r>
      <w:r>
        <w:t xml:space="preserve"> instead of Zuber's </w:t>
      </w:r>
      <w:r>
        <w:rPr>
          <w:rFonts w:ascii="Consolas" w:hAnsi="Consolas"/>
          <w:sz w:val="21"/>
        </w:rPr>
        <w:t>λ_H = πD_j</w:t>
      </w:r>
      <w:r>
        <w:t xml:space="preserve"> </w:t>
      </w:r>
      <w:r>
        <w:rPr>
          <w:b/>
        </w:rPr>
        <w:t>[V]</w:t>
      </w:r>
      <w:r>
        <w:t>:</w:t>
      </w:r>
    </w:p>
    <w:p>
      <w:pPr>
        <w:spacing w:line="240" w:lineRule="auto" w:after="200" w:before="120"/>
        <w:ind w:left="360"/>
      </w:pPr>
      <w:r>
        <w:rPr>
          <w:rFonts w:ascii="Consolas" w:hAnsi="Consolas"/>
          <w:sz w:val="18"/>
        </w:rPr>
        <w:t>q″_CHF / q″_CHF,Zuber = 1.14        ⟹     K = 0.149                       (16)</w:t>
      </w:r>
    </w:p>
    <w:p>
      <w:pPr>
        <w:jc w:val="both"/>
      </w:pPr>
      <w:r>
        <w:t xml:space="preserve">Validity: the infinite-flat-plate assumption holds for surface widths </w:t>
      </w:r>
      <w:r>
        <w:rPr>
          <w:b/>
        </w:rPr>
        <w:t>&gt; 3λ_d</w:t>
      </w:r>
    </w:p>
    <w:p>
      <w:pPr>
        <w:jc w:val="both"/>
      </w:pPr>
      <w:r>
        <w:t>(Lienhard et al.). Zhang et al. (2D simulation): the surface can be treated as infinite</w:t>
      </w:r>
    </w:p>
    <w:p>
      <w:pPr>
        <w:jc w:val="both"/>
      </w:pPr>
      <w:r>
        <w:t xml:space="preserve">when heater width / capillary length </w:t>
      </w:r>
      <w:r>
        <w:rPr>
          <w:b/>
        </w:rPr>
        <w:t>&gt; 12</w:t>
      </w:r>
      <w:r>
        <w:t xml:space="preserve">. Gogonin: 2 capillary lengths suffice. </w:t>
      </w:r>
      <w:r>
        <w:rPr>
          <w:b/>
        </w:rPr>
        <w:t>[V]</w:t>
      </w:r>
    </w:p>
    <w:p>
      <w:pPr>
        <w:ind w:left="480" w:right="480"/>
      </w:pPr>
      <w:r>
        <w:rPr>
          <w:b/>
          <w:i/>
        </w:rPr>
        <w:t>Directly relevant to our pin-fin and flat-heater pool-boiling sources.</w:t>
      </w:r>
      <w:r>
        <w:rPr>
          <w:i/>
        </w:rPr>
        <w:t xml:space="preserve"> A finite heater is not a small perturbation on Zuber — it is a different asymptote. If </w:t>
      </w:r>
      <w:r>
        <w:rPr>
          <w:rFonts w:ascii="Consolas" w:hAnsi="Consolas"/>
          <w:i/>
          <w:sz w:val="21"/>
        </w:rPr>
        <w:t>heater_width_mm / capillary_length &lt; 3λ_d</w:t>
      </w:r>
      <w:r>
        <w:rPr>
          <w:i/>
        </w:rPr>
        <w:t xml:space="preserve">, the Zuber baseline is the wrong normaliser and our </w:t>
      </w:r>
      <w:r>
        <w:rPr>
          <w:rFonts w:ascii="Consolas" w:hAnsi="Consolas"/>
          <w:i/>
          <w:sz w:val="21"/>
        </w:rPr>
        <w:t>log(CHF/baseline)</w:t>
      </w:r>
      <w:r>
        <w:rPr>
          <w:i/>
        </w:rPr>
        <w:t xml:space="preserve"> target inherits that error.</w:t>
      </w:r>
    </w:p>
    <w:p>
      <w:pPr>
        <w:pStyle w:val="Heading3"/>
      </w:pPr>
      <w:r>
        <w:rPr>
          <w:rFonts w:ascii="Times New Roman" w:hAnsi="Times New Roman"/>
          <w:color w:val="000000"/>
        </w:rPr>
        <w:t>3.4 Haramura &amp; Katto macrolayer dryout (1983)</w:t>
      </w:r>
    </w:p>
    <w:p>
      <w:pPr>
        <w:jc w:val="both"/>
      </w:pPr>
      <w:r>
        <w:t xml:space="preserve">A large hovering bubble sits above a thin liquid </w:t>
      </w:r>
      <w:r>
        <w:rPr>
          <w:b/>
        </w:rPr>
        <w:t>macrolayer</w:t>
      </w:r>
      <w:r>
        <w:t xml:space="preserve"> pierced by vapour stems.</w:t>
      </w:r>
    </w:p>
    <w:p>
      <w:pPr>
        <w:jc w:val="both"/>
      </w:pPr>
      <w:r>
        <w:t xml:space="preserve">CHF is triggered when the macrolayer dries out just before bubble departure </w:t>
      </w:r>
      <w:r>
        <w:rPr>
          <w:b/>
        </w:rPr>
        <w:t>[V]</w:t>
      </w:r>
      <w:r>
        <w:t>:</w:t>
      </w:r>
    </w:p>
    <w:p>
      <w:pPr>
        <w:spacing w:line="240" w:lineRule="auto" w:after="200" w:before="120"/>
        <w:ind w:left="360"/>
      </w:pPr>
      <w:r>
        <w:rPr>
          <w:rFonts w:ascii="Consolas" w:hAnsi="Consolas"/>
          <w:sz w:val="18"/>
        </w:rPr>
        <w:t>q″_CHF = ρ_f h_fg δ (1 − A_g/A_w) f                                       (25)</w:t>
      </w:r>
    </w:p>
    <w:p>
      <w:pPr>
        <w:jc w:val="both"/>
      </w:pPr>
      <w:r>
        <w:rPr>
          <w:rFonts w:ascii="Consolas" w:hAnsi="Consolas"/>
          <w:sz w:val="21"/>
        </w:rPr>
        <w:t>δ</w:t>
      </w:r>
      <w:r>
        <w:t xml:space="preserve"> = macrolayer thickness, </w:t>
      </w:r>
      <w:r>
        <w:rPr>
          <w:rFonts w:ascii="Consolas" w:hAnsi="Consolas"/>
          <w:sz w:val="21"/>
        </w:rPr>
        <w:t>f</w:t>
      </w:r>
      <w:r>
        <w:t xml:space="preserve"> = bubble departure frequency. With </w:t>
      </w:r>
      <w:r>
        <w:rPr>
          <w:rFonts w:ascii="Consolas" w:hAnsi="Consolas"/>
          <w:sz w:val="21"/>
        </w:rPr>
        <w:t>δ = λ_H/4</w:t>
      </w:r>
      <w:r>
        <w:t xml:space="preserve"> </w:t>
      </w:r>
      <w:r>
        <w:rPr>
          <w:b/>
        </w:rPr>
        <w:t>[V]</w:t>
      </w:r>
      <w:r>
        <w:t>:</w:t>
      </w:r>
    </w:p>
    <w:p>
      <w:pPr>
        <w:spacing w:line="240" w:lineRule="auto" w:after="200" w:before="120"/>
        <w:ind w:left="360"/>
      </w:pPr>
      <w:r>
        <w:rPr>
          <w:rFonts w:ascii="Consolas" w:hAnsi="Consolas"/>
          <w:sz w:val="18"/>
        </w:rPr>
        <w:t>q″_CHF = 0.721 (A_g/A_w)^(5/8) [ (1 − A_g/A_w)^(5/16) ((ρ_f/ρ_g)+1) / ((11/16)(ρ_f/ρ_g)+1)^(3/5) ]^(5/16)</w:t>
        <w:br/>
        <w:t xml:space="preserve">         × ρ_g h_fg [ σ(ρ_f−ρ_g)g/ρ_g² ]^(1/4)                            (26a)</w:t>
      </w:r>
    </w:p>
    <w:p>
      <w:pPr>
        <w:jc w:val="both"/>
      </w:pPr>
      <w:r>
        <w:t>with</w:t>
      </w:r>
    </w:p>
    <w:p>
      <w:pPr>
        <w:spacing w:line="240" w:lineRule="auto" w:after="200" w:before="120"/>
        <w:ind w:left="360"/>
      </w:pPr>
      <w:r>
        <w:rPr>
          <w:rFonts w:ascii="Consolas" w:hAnsi="Consolas"/>
          <w:sz w:val="18"/>
        </w:rPr>
        <w:t>A_g/A_w = 0.0584 (ρ_g/ρ_f)^(1/5)                                          (27)</w:t>
      </w:r>
    </w:p>
    <w:p>
      <w:pPr>
        <w:jc w:val="both"/>
      </w:pPr>
      <w:r>
        <w:rPr>
          <w:b/>
        </w:rPr>
        <w:t>Macrolayer thickness — four competing closures [V]:</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40" w:lineRule="auto" w:after="40"/>
            </w:pPr>
            <w:r>
              <w:rPr>
                <w:b/>
                <w:sz w:val="20"/>
              </w:rPr>
            </w:r>
            <w:r>
              <w:rPr>
                <w:b/>
                <w:sz w:val="20"/>
              </w:rPr>
              <w:t>Author</w:t>
            </w:r>
          </w:p>
        </w:tc>
        <w:tc>
          <w:tcPr>
            <w:tcW w:type="dxa" w:w="4320"/>
          </w:tcPr>
          <w:p>
            <w:pPr>
              <w:spacing w:line="240" w:lineRule="auto" w:after="40"/>
            </w:pPr>
            <w:r>
              <w:rPr>
                <w:b/>
                <w:sz w:val="20"/>
              </w:rPr>
            </w:r>
            <w:r>
              <w:rPr>
                <w:rFonts w:ascii="Consolas" w:hAnsi="Consolas"/>
                <w:b/>
                <w:sz w:val="20"/>
              </w:rPr>
              <w:t>δ</w:t>
            </w:r>
          </w:p>
        </w:tc>
      </w:tr>
      <w:tr>
        <w:tc>
          <w:tcPr>
            <w:tcW w:type="dxa" w:w="4320"/>
          </w:tcPr>
          <w:p>
            <w:pPr>
              <w:spacing w:line="240" w:lineRule="auto" w:after="40"/>
            </w:pPr>
            <w:r>
              <w:rPr>
                <w:sz w:val="20"/>
              </w:rPr>
            </w:r>
            <w:r>
              <w:rPr>
                <w:sz w:val="20"/>
              </w:rPr>
              <w:t>Haramura &amp; Katto</w:t>
            </w:r>
          </w:p>
        </w:tc>
        <w:tc>
          <w:tcPr>
            <w:tcW w:type="dxa" w:w="4320"/>
          </w:tcPr>
          <w:p>
            <w:pPr>
              <w:spacing w:line="240" w:lineRule="auto" w:after="40"/>
            </w:pPr>
            <w:r>
              <w:rPr>
                <w:sz w:val="20"/>
              </w:rPr>
            </w:r>
            <w:r>
              <w:rPr>
                <w:rFonts w:ascii="Consolas" w:hAnsi="Consolas"/>
                <w:sz w:val="20"/>
              </w:rPr>
              <w:t>λ_H/4 = 0.00536 σ ρ_g (1+ρ_g/ρ_f)(ρ_g/ρ_f)^{2/5} (h_fg/q″)²</w:t>
            </w:r>
          </w:p>
        </w:tc>
      </w:tr>
      <w:tr>
        <w:tc>
          <w:tcPr>
            <w:tcW w:type="dxa" w:w="4320"/>
          </w:tcPr>
          <w:p>
            <w:pPr>
              <w:spacing w:line="240" w:lineRule="auto" w:after="40"/>
            </w:pPr>
            <w:r>
              <w:rPr>
                <w:sz w:val="20"/>
              </w:rPr>
            </w:r>
            <w:r>
              <w:rPr>
                <w:sz w:val="20"/>
              </w:rPr>
              <w:t>Rajvanshi et al.</w:t>
            </w:r>
          </w:p>
        </w:tc>
        <w:tc>
          <w:tcPr>
            <w:tcW w:type="dxa" w:w="4320"/>
          </w:tcPr>
          <w:p>
            <w:pPr>
              <w:spacing w:line="240" w:lineRule="auto" w:after="40"/>
            </w:pPr>
            <w:r>
              <w:rPr>
                <w:sz w:val="20"/>
              </w:rPr>
            </w:r>
            <w:r>
              <w:rPr>
                <w:rFonts w:ascii="Consolas" w:hAnsi="Consolas"/>
                <w:sz w:val="20"/>
              </w:rPr>
              <w:t>λ_H/2 = 0.0107 σ ρ_g (1+ρ_g/ρ_f)(ρ_g/ρ_f)^{2/5} (h_fg/q″)²</w:t>
            </w:r>
          </w:p>
        </w:tc>
      </w:tr>
      <w:tr>
        <w:tc>
          <w:tcPr>
            <w:tcW w:type="dxa" w:w="4320"/>
          </w:tcPr>
          <w:p>
            <w:pPr>
              <w:spacing w:line="240" w:lineRule="auto" w:after="40"/>
            </w:pPr>
            <w:r>
              <w:rPr>
                <w:sz w:val="20"/>
              </w:rPr>
            </w:r>
            <w:r>
              <w:rPr>
                <w:sz w:val="20"/>
              </w:rPr>
              <w:t>Kumada &amp; Sakashita</w:t>
            </w:r>
          </w:p>
        </w:tc>
        <w:tc>
          <w:tcPr>
            <w:tcW w:type="dxa" w:w="4320"/>
          </w:tcPr>
          <w:p>
            <w:pPr>
              <w:spacing w:line="240" w:lineRule="auto" w:after="40"/>
            </w:pPr>
            <w:r>
              <w:rPr>
                <w:sz w:val="20"/>
              </w:rPr>
            </w:r>
            <w:r>
              <w:rPr>
                <w:rFonts w:ascii="Consolas" w:hAnsi="Consolas"/>
                <w:sz w:val="20"/>
              </w:rPr>
              <w:t>0.786 [ν_g⁸σ¹¹/(ρ_f⁶g⁵(ρ_f−ρ_g)⁵)]^{1/24} (ρ_g h_fg/q″)^{5/6}</w:t>
            </w:r>
          </w:p>
        </w:tc>
      </w:tr>
      <w:tr>
        <w:tc>
          <w:tcPr>
            <w:tcW w:type="dxa" w:w="4320"/>
          </w:tcPr>
          <w:p>
            <w:pPr>
              <w:spacing w:line="240" w:lineRule="auto" w:after="40"/>
            </w:pPr>
            <w:r>
              <w:rPr>
                <w:sz w:val="20"/>
              </w:rPr>
            </w:r>
            <w:r>
              <w:rPr>
                <w:sz w:val="20"/>
              </w:rPr>
              <w:t>Chappidi et al.</w:t>
            </w:r>
          </w:p>
        </w:tc>
        <w:tc>
          <w:tcPr>
            <w:tcW w:type="dxa" w:w="4320"/>
          </w:tcPr>
          <w:p>
            <w:pPr>
              <w:spacing w:line="240" w:lineRule="auto" w:after="40"/>
            </w:pPr>
            <w:r>
              <w:rPr>
                <w:sz w:val="20"/>
              </w:rPr>
            </w:r>
            <w:r>
              <w:rPr>
                <w:rFonts w:ascii="Consolas" w:hAnsi="Consolas"/>
                <w:sz w:val="20"/>
              </w:rPr>
              <w:t>[ (ρ_g/ρ_f)(A_g/A_w)(1−A_g/A_w)^{−1} √((ρ_f+ρ_g)/(ρ_fρ_g)) √σ τ ]^{2/3}</w:t>
            </w:r>
            <w:r>
              <w:rPr>
                <w:sz w:val="20"/>
              </w:rPr>
              <w:t>, τ = bubble hovering time</w:t>
            </w:r>
          </w:p>
        </w:tc>
      </w:tr>
    </w:tbl>
    <w:p/>
    <w:p>
      <w:pPr>
        <w:jc w:val="both"/>
      </w:pPr>
      <w:r>
        <w:t xml:space="preserve">Also </w:t>
      </w:r>
      <w:r>
        <w:rPr>
          <w:rFonts w:ascii="Consolas" w:hAnsi="Consolas"/>
          <w:sz w:val="21"/>
        </w:rPr>
        <w:t>δ = 1.1 R</w:t>
      </w:r>
      <w:r>
        <w:t xml:space="preserve"> (R = mean vapour stem radius), Chappidi et al. </w:t>
      </w:r>
      <w:r>
        <w:rPr>
          <w:b/>
        </w:rPr>
        <w:t>[V]</w:t>
      </w:r>
    </w:p>
    <w:p>
      <w:pPr>
        <w:jc w:val="both"/>
      </w:pPr>
      <w:r>
        <w:rPr>
          <w:b/>
        </w:rPr>
        <w:t>Status honestly reported:</w:t>
      </w:r>
      <w:r>
        <w:t xml:space="preserve"> Xiao &amp; Yu report the macrolayer never dries out; Jung et al.</w:t>
      </w:r>
    </w:p>
    <w:p>
      <w:pPr>
        <w:jc w:val="both"/>
      </w:pPr>
      <w:r>
        <w:t>found *no* evidence of regularly spaced vapour jets or a trapped liquid layer using</w:t>
      </w:r>
    </w:p>
    <w:p>
      <w:pPr>
        <w:jc w:val="both"/>
      </w:pPr>
      <w:r>
        <w:t xml:space="preserve">high-speed IR. Those observations undermine both the macrolayer model *and* Zuber. </w:t>
      </w:r>
      <w:r>
        <w:rPr>
          <w:b/>
        </w:rPr>
        <w:t>[V]</w:t>
      </w:r>
    </w:p>
    <w:p>
      <w:pPr>
        <w:pStyle w:val="Heading3"/>
      </w:pPr>
      <w:r>
        <w:rPr>
          <w:rFonts w:ascii="Times New Roman" w:hAnsi="Times New Roman"/>
          <w:color w:val="000000"/>
        </w:rPr>
        <w:t>3.5 Hot / dry spot models</w:t>
      </w:r>
    </w:p>
    <w:p>
      <w:pPr>
        <w:jc w:val="both"/>
      </w:pPr>
      <w:r>
        <w:rPr>
          <w:b/>
        </w:rPr>
        <w:t>Yagov (1988, 2014)</w:t>
      </w:r>
      <w:r>
        <w:t xml:space="preserve"> — CHF as irreversible growth of dry spots. Uniquely among these</w:t>
      </w:r>
    </w:p>
    <w:p>
      <w:pPr>
        <w:jc w:val="both"/>
      </w:pPr>
      <w:r>
        <w:t xml:space="preserve">models, it carries </w:t>
      </w:r>
      <w:r>
        <w:rPr>
          <w:b/>
        </w:rPr>
        <w:t>liquid viscosity</w:t>
      </w:r>
      <w:r>
        <w:t xml:space="preserve"> dependence.</w:t>
      </w:r>
    </w:p>
    <w:p>
      <w:pPr>
        <w:jc w:val="both"/>
      </w:pPr>
      <w:r>
        <w:t xml:space="preserve">Low reduced pressure, </w:t>
      </w:r>
      <w:r>
        <w:rPr>
          <w:rFonts w:ascii="Consolas" w:hAnsi="Consolas"/>
          <w:sz w:val="21"/>
        </w:rPr>
        <w:t>P/P_c &lt; 0.001</w:t>
      </w:r>
      <w:r>
        <w:t xml:space="preserve"> </w:t>
      </w:r>
      <w:r>
        <w:rPr>
          <w:b/>
        </w:rPr>
        <w:t>[V]</w:t>
      </w:r>
      <w:r>
        <w:t>:</w:t>
      </w:r>
    </w:p>
    <w:p>
      <w:pPr>
        <w:spacing w:line="240" w:lineRule="auto" w:after="200" w:before="120"/>
        <w:ind w:left="360"/>
      </w:pPr>
      <w:r>
        <w:rPr>
          <w:rFonts w:ascii="Consolas" w:hAnsi="Consolas"/>
          <w:sz w:val="18"/>
        </w:rPr>
        <w:t xml:space="preserve">              0.5 · h_fg^(8/55) σ^(9/11) ρ_g^(13/110) k_f^(7/110) g^(21/55) f(Pr_f)</w:t>
        <w:br/>
        <w:t>q″_CHF,l  =  ─────────────────────────────────────────────────────────────────────   (33)</w:t>
        <w:br/>
        <w:t xml:space="preserve">                        ν_f^(1/2) c_p,f^(3/10) R_i^(79/110) T_sat^(21/22)</w:t>
      </w:r>
    </w:p>
    <w:p>
      <w:pPr>
        <w:spacing w:line="240" w:lineRule="auto" w:after="200" w:before="120"/>
        <w:ind w:left="360"/>
      </w:pPr>
      <w:r>
        <w:rPr>
          <w:rFonts w:ascii="Consolas" w:hAnsi="Consolas"/>
          <w:sz w:val="18"/>
        </w:rPr>
        <w:t xml:space="preserve">                        Pr_f^(9/8)</w:t>
        <w:br/>
        <w:t>f(Pr_f) = [ ──────────────────────────────── ]^(4/11)                     (34)</w:t>
        <w:br/>
        <w:t xml:space="preserve">            1 + 2Pr_f^(1/4) + 0.6 Pr_f^(19/24)</w:t>
      </w:r>
    </w:p>
    <w:p>
      <w:pPr>
        <w:jc w:val="both"/>
      </w:pPr>
      <w:r>
        <w:t xml:space="preserve">High reduced pressure, </w:t>
      </w:r>
      <w:r>
        <w:rPr>
          <w:rFonts w:ascii="Consolas" w:hAnsi="Consolas"/>
          <w:sz w:val="21"/>
        </w:rPr>
        <w:t>P/P_c &gt; 0.03</w:t>
      </w:r>
      <w:r>
        <w:t xml:space="preserve"> </w:t>
      </w:r>
      <w:r>
        <w:rPr>
          <w:b/>
        </w:rPr>
        <w:t>[V]</w:t>
      </w:r>
      <w:r>
        <w:t>:</w:t>
      </w:r>
    </w:p>
    <w:p>
      <w:pPr>
        <w:spacing w:line="240" w:lineRule="auto" w:after="200" w:before="120"/>
        <w:ind w:left="360"/>
      </w:pPr>
      <w:r>
        <w:rPr>
          <w:rFonts w:ascii="Consolas" w:hAnsi="Consolas"/>
          <w:sz w:val="18"/>
        </w:rPr>
        <w:t>q″_CHF,h = 0.06 h_fg ρ_g^(3/5) σ^(2/5) [ g(ρ_f − ρ_g)/μ_f ]^(1/5)         (35)</w:t>
      </w:r>
    </w:p>
    <w:p>
      <w:pPr>
        <w:jc w:val="both"/>
      </w:pPr>
      <w:r>
        <w:t xml:space="preserve">Blend for </w:t>
      </w:r>
      <w:r>
        <w:rPr>
          <w:rFonts w:ascii="Consolas" w:hAnsi="Consolas"/>
          <w:sz w:val="21"/>
        </w:rPr>
        <w:t>0.001 ≤ P/P_c ≤ 0.03</w:t>
      </w:r>
      <w:r>
        <w:t xml:space="preserve"> </w:t>
      </w:r>
      <w:r>
        <w:rPr>
          <w:b/>
        </w:rPr>
        <w:t>[V]</w:t>
      </w:r>
      <w:r>
        <w:t>:</w:t>
      </w:r>
    </w:p>
    <w:p>
      <w:pPr>
        <w:spacing w:line="240" w:lineRule="auto" w:after="200" w:before="120"/>
        <w:ind w:left="360"/>
      </w:pPr>
      <w:r>
        <w:rPr>
          <w:rFonts w:ascii="Consolas" w:hAnsi="Consolas"/>
          <w:sz w:val="18"/>
        </w:rPr>
        <w:t>q″_CHF = ( q″_CHF,h³ + q″_CHF,l³ )^(1/3)                                  (36)</w:t>
      </w:r>
    </w:p>
    <w:p>
      <w:pPr>
        <w:ind w:left="480" w:right="480"/>
      </w:pPr>
      <w:r>
        <w:rPr>
          <w:b/>
          <w:i/>
        </w:rPr>
        <w:t>This blending function is a template worth stealing.</w:t>
      </w:r>
      <w:r>
        <w:rPr>
          <w:i/>
        </w:rPr>
        <w:t xml:space="preserve"> It is a smooth, differentiable, physically-motivated way to interpolate between two asymptotic regimes — far better behaved than the hard </w:t>
      </w:r>
      <w:r>
        <w:rPr>
          <w:rFonts w:ascii="Consolas" w:hAnsi="Consolas"/>
          <w:i/>
          <w:sz w:val="21"/>
        </w:rPr>
        <w:t>if</w:t>
      </w:r>
      <w:r>
        <w:rPr>
          <w:i/>
        </w:rPr>
        <w:t xml:space="preserve"> switches in Biasi and Katto–Ohno, and directly applicable to our mechanism-mixture idea in §9.</w:t>
      </w:r>
    </w:p>
    <w:p>
      <w:pPr>
        <w:jc w:val="both"/>
      </w:pPr>
      <w:r>
        <w:rPr>
          <w:b/>
        </w:rPr>
        <w:t>Theofanous &amp; Dinh</w:t>
      </w:r>
      <w:r>
        <w:t xml:space="preserve"> — CHF governed by microlayer instability </w:t>
      </w:r>
      <w:r>
        <w:rPr>
          <w:b/>
        </w:rPr>
        <w:t>[V]</w:t>
      </w:r>
      <w:r>
        <w:t>:</w:t>
      </w:r>
    </w:p>
    <w:p>
      <w:pPr>
        <w:spacing w:line="240" w:lineRule="auto" w:after="200" w:before="120"/>
        <w:ind w:left="360"/>
      </w:pPr>
      <w:r>
        <w:rPr>
          <w:rFonts w:ascii="Consolas" w:hAnsi="Consolas"/>
          <w:sz w:val="18"/>
        </w:rPr>
        <w:t>q″_CHF = λ^(−1/2) · ρ_g h_fg [ σ g (ρ_f − ρ_g)/ρ_g² ]^(1/4)               (37)</w:t>
      </w:r>
    </w:p>
    <w:p>
      <w:pPr>
        <w:jc w:val="both"/>
      </w:pPr>
      <w:r>
        <w:rPr>
          <w:rFonts w:ascii="Consolas" w:hAnsi="Consolas"/>
          <w:sz w:val="21"/>
        </w:rPr>
        <w:t>λ</w:t>
      </w:r>
      <w:r>
        <w:t xml:space="preserve"> decreases with increasing wettability. Kim et al. derived it from Rayleigh's static</w:t>
      </w:r>
    </w:p>
    <w:p>
      <w:pPr>
        <w:jc w:val="both"/>
      </w:pPr>
      <w:r>
        <w:t xml:space="preserve">meniscus volume formula, for hydrophilic surfaces (α &lt; 90°) </w:t>
      </w:r>
      <w:r>
        <w:rPr>
          <w:b/>
        </w:rPr>
        <w:t>[V]</w:t>
      </w:r>
      <w:r>
        <w:t>:</w:t>
      </w:r>
    </w:p>
    <w:p>
      <w:pPr>
        <w:spacing w:line="240" w:lineRule="auto" w:after="200" w:before="120"/>
        <w:ind w:left="360"/>
      </w:pPr>
      <w:r>
        <w:rPr>
          <w:rFonts w:ascii="Consolas" w:hAnsi="Consolas"/>
          <w:sz w:val="18"/>
        </w:rPr>
        <w:t>λ = [ (1 − sin α)/2 − (π/2 − α)/(2 cos α) ]^(−1/2)                        (38)</w:t>
      </w:r>
    </w:p>
    <w:p>
      <w:pPr>
        <w:pStyle w:val="Heading3"/>
      </w:pPr>
      <w:r>
        <w:rPr>
          <w:rFonts w:ascii="Times New Roman" w:hAnsi="Times New Roman"/>
          <w:color w:val="000000"/>
        </w:rPr>
        <w:t>3.6 Galloway &amp; Mudawar interfacial lift-off</w:t>
      </w:r>
    </w:p>
    <w:p>
      <w:pPr>
        <w:jc w:val="both"/>
      </w:pPr>
      <w:r>
        <w:t>CHF occurs when vapour momentum normal to the wall exceeds the restraining pressure force</w:t>
      </w:r>
    </w:p>
    <w:p>
      <w:pPr>
        <w:jc w:val="both"/>
      </w:pPr>
      <w:r>
        <w:t>from interfacial curvature; wetting fronts in the wave troughs are the last cooling</w:t>
      </w:r>
    </w:p>
    <w:p>
      <w:pPr>
        <w:jc w:val="both"/>
      </w:pPr>
      <w:r>
        <w:t xml:space="preserve">mechanism </w:t>
      </w:r>
      <w:r>
        <w:rPr>
          <w:b/>
        </w:rPr>
        <w:t>[V]</w:t>
      </w:r>
      <w:r>
        <w:t>:</w:t>
      </w:r>
    </w:p>
    <w:p>
      <w:pPr>
        <w:spacing w:line="240" w:lineRule="auto" w:after="200" w:before="120"/>
        <w:ind w:left="360"/>
      </w:pPr>
      <w:r>
        <w:rPr>
          <w:rFonts w:ascii="Consolas" w:hAnsi="Consolas"/>
          <w:sz w:val="18"/>
        </w:rPr>
        <w:t>ρ_g [ q″_l / (ρ_g h_fg (1 + c_p,f ΔT_sub/h_fg)) ]²  =  P_f − P_g          (39)</w:t>
        <w:br/>
        <w:br/>
        <w:t>P_f − P_g = 2√2 π σ δ / λ_c²                                              (40)</w:t>
      </w:r>
    </w:p>
    <w:p>
      <w:pPr>
        <w:jc w:val="both"/>
      </w:pPr>
      <w:r>
        <w:t xml:space="preserve">With wetting-front span = </w:t>
      </w:r>
      <w:r>
        <w:rPr>
          <w:rFonts w:ascii="Consolas" w:hAnsi="Consolas"/>
          <w:sz w:val="21"/>
        </w:rPr>
        <w:t>λ_c/4</w:t>
      </w:r>
      <w:r>
        <w:t xml:space="preserve"> (so </w:t>
      </w:r>
      <w:r>
        <w:rPr>
          <w:rFonts w:ascii="Consolas" w:hAnsi="Consolas"/>
          <w:sz w:val="21"/>
        </w:rPr>
        <w:t>q″_CHF = q″_l/4</w:t>
      </w:r>
      <w:r>
        <w:t xml:space="preserve">) </w:t>
      </w:r>
      <w:r>
        <w:rPr>
          <w:b/>
        </w:rPr>
        <w:t>[V]</w:t>
      </w:r>
      <w:r>
        <w:t>:</w:t>
      </w:r>
    </w:p>
    <w:p>
      <w:pPr>
        <w:spacing w:line="240" w:lineRule="auto" w:after="200" w:before="120"/>
        <w:ind w:left="360"/>
      </w:pPr>
      <w:r>
        <w:rPr>
          <w:rFonts w:ascii="Consolas" w:hAnsi="Consolas"/>
          <w:sz w:val="18"/>
        </w:rPr>
        <w:t>q″_CHF = ¼ ρ_g h_fg (1 + c_p,f ΔT_sub/h_fg) · [ 2√2 π σ δ / (ρ_g λ_c²) ]^(1/2)   (41)</w:t>
      </w:r>
    </w:p>
    <w:p>
      <w:pPr>
        <w:jc w:val="both"/>
      </w:pPr>
      <w:r>
        <w:t>This model spans pool *and* flow boiling — Mudawar's group found near-vertical pool</w:t>
      </w:r>
    </w:p>
    <w:p>
      <w:pPr>
        <w:jc w:val="both"/>
      </w:pPr>
      <w:r>
        <w:t>boiling interfacial behaviour closely resembles flow boiling CHF. Note the explicit</w:t>
      </w:r>
    </w:p>
    <w:p>
      <w:pPr>
        <w:jc w:val="both"/>
      </w:pPr>
      <w:r>
        <w:rPr>
          <w:b/>
        </w:rPr>
        <w:t>subcooling factor `(1 + c_p,f ΔT_sub/h_fg)`</w:t>
      </w:r>
      <w:r>
        <w:t xml:space="preserve"> — this is the canonical way subcooling</w:t>
      </w:r>
    </w:p>
    <w:p>
      <w:pPr>
        <w:jc w:val="both"/>
      </w:pPr>
      <w:r>
        <w:t>enters CHF models, and it is a Jakob-number term.</w:t>
      </w:r>
    </w:p>
    <w:p>
      <w:pPr>
        <w:jc w:val="center"/>
      </w:pPr>
      <w:r>
        <w:rPr>
          <w:sz w:val="20"/>
        </w:rPr>
        <w:t>• • •</w:t>
      </w:r>
    </w:p>
    <w:p>
      <w:pPr>
        <w:pStyle w:val="Heading2"/>
      </w:pPr>
      <w:r>
        <w:rPr>
          <w:rFonts w:ascii="Times New Roman" w:hAnsi="Times New Roman"/>
          <w:color w:val="000000"/>
        </w:rPr>
        <w:t>4. Surface characteristics — the physics behind the outline's core claim</w:t>
      </w:r>
    </w:p>
    <w:p>
      <w:pPr>
        <w:jc w:val="both"/>
      </w:pPr>
      <w:r>
        <w:t>This is the section the paper outline is built on. The honest summary: **the literature</w:t>
      </w:r>
    </w:p>
    <w:p>
      <w:pPr>
        <w:jc w:val="both"/>
      </w:pPr>
      <w:r>
        <w:t>is genuinely contested, and that contest is itself the research opportunity.**</w:t>
      </w:r>
    </w:p>
    <w:p>
      <w:pPr>
        <w:pStyle w:val="Heading3"/>
      </w:pPr>
      <w:r>
        <w:rPr>
          <w:rFonts w:ascii="Times New Roman" w:hAnsi="Times New Roman"/>
          <w:color w:val="000000"/>
        </w:rPr>
        <w:t>4.1 Contact angle and wettability</w:t>
      </w:r>
    </w:p>
    <w:p>
      <w:pPr>
        <w:jc w:val="both"/>
      </w:pPr>
      <w:r>
        <w:rPr>
          <w:b/>
        </w:rPr>
        <w:t>The disagreement, stated plainly</w:t>
      </w:r>
      <w:r>
        <w:t xml:space="preserve"> (Liang &amp; Mudawar §3.2.2) </w:t>
      </w:r>
      <w:r>
        <w:rPr>
          <w:b/>
        </w:rPr>
        <w:t>[V]</w:t>
      </w:r>
      <w:r>
        <w:t>:</w:t>
      </w:r>
    </w:p>
    <w:p>
      <w:pPr>
        <w:pStyle w:val="ListBullet"/>
        <w:spacing w:line="360" w:lineRule="auto"/>
      </w:pPr>
      <w:r>
        <w:t>*Against:* Kutateladze–Zuber is independent of surface conditions and Bewilogua et al.</w:t>
      </w:r>
    </w:p>
    <w:p>
      <w:pPr>
        <w:jc w:val="both"/>
      </w:pPr>
      <w:r>
        <w:t>validated that independence. Stock: contact angle has only weak influence. O'Hanley et</w:t>
      </w:r>
    </w:p>
    <w:p>
      <w:pPr>
        <w:jc w:val="both"/>
      </w:pPr>
      <w:r>
        <w:t xml:space="preserve">al.: wettability alone has little influence </w:t>
      </w:r>
      <w:r>
        <w:rPr>
          <w:b/>
        </w:rPr>
        <w:t>on smooth surfaces</w:t>
      </w:r>
      <w:r>
        <w:t>.</w:t>
      </w:r>
    </w:p>
    <w:p>
      <w:pPr>
        <w:pStyle w:val="ListBullet"/>
        <w:spacing w:line="360" w:lineRule="auto"/>
      </w:pPr>
      <w:r>
        <w:t>*For:* Gaertner; Costello &amp; Frea; Maracy &amp; Winterton; Hahne &amp; Diesselhorst all found CHF</w:t>
      </w:r>
    </w:p>
    <w:p>
      <w:pPr>
        <w:jc w:val="both"/>
      </w:pPr>
      <w:r>
        <w:t>decreases appreciably with decreasing wettability. Liaw &amp; Dhir: at a contact angle of</w:t>
      </w:r>
    </w:p>
    <w:p>
      <w:pPr>
        <w:jc w:val="both"/>
      </w:pPr>
      <w:r>
        <w:rPr>
          <w:b/>
        </w:rPr>
        <w:t>107°, CHF is only half</w:t>
      </w:r>
      <w:r>
        <w:t xml:space="preserve"> the hydrodynamic-theory prediction.</w:t>
      </w:r>
    </w:p>
    <w:p>
      <w:pPr>
        <w:pStyle w:val="ListBullet"/>
        <w:spacing w:line="360" w:lineRule="auto"/>
      </w:pPr>
      <w:r>
        <w:t>*Caution:* Liao et al. warn a robust CHF–contact-angle relation is hard to establish</w:t>
      </w:r>
    </w:p>
    <w:p>
      <w:pPr>
        <w:jc w:val="both"/>
      </w:pPr>
      <w:r>
        <w:t>because fluid and surface thermal properties vary synchronously with temperature, which</w:t>
      </w:r>
    </w:p>
    <w:p>
      <w:pPr>
        <w:jc w:val="both"/>
      </w:pPr>
      <w:r>
        <w:t>itself moves the contact angle.</w:t>
      </w:r>
    </w:p>
    <w:p>
      <w:pPr>
        <w:jc w:val="both"/>
      </w:pPr>
      <w:r>
        <w:t xml:space="preserve">Liang &amp; Mudawar's conclusion </w:t>
      </w:r>
      <w:r>
        <w:rPr>
          <w:b/>
        </w:rPr>
        <w:t>[V]</w:t>
      </w:r>
      <w:r>
        <w:t>:</w:t>
      </w:r>
    </w:p>
    <w:p>
      <w:pPr>
        <w:ind w:left="480" w:right="480"/>
      </w:pPr>
      <w:r>
        <w:rPr>
          <w:i/>
        </w:rPr>
        <w:t>"contact angle is important to modeling pool boiling CHF even for smooth surfaces, let alone the complicated contact angle variations resulting from external influences. This fact points to a need for more systematic studies of pool boiling CHF from smooth surfaces."</w:t>
      </w:r>
    </w:p>
    <w:p>
      <w:pPr>
        <w:jc w:val="both"/>
      </w:pPr>
      <w:r>
        <w:rPr>
          <w:b/>
        </w:rPr>
        <w:t>Models incorporating contact angle α:</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Author</w:t>
            </w:r>
          </w:p>
        </w:tc>
        <w:tc>
          <w:tcPr>
            <w:tcW w:type="dxa" w:w="2880"/>
          </w:tcPr>
          <w:p>
            <w:pPr>
              <w:spacing w:line="240" w:lineRule="auto" w:after="40"/>
            </w:pPr>
            <w:r>
              <w:rPr>
                <w:b/>
                <w:sz w:val="20"/>
              </w:rPr>
            </w:r>
            <w:r>
              <w:rPr>
                <w:rFonts w:ascii="Consolas" w:hAnsi="Consolas"/>
                <w:b/>
                <w:sz w:val="20"/>
              </w:rPr>
              <w:t>K</w:t>
            </w:r>
          </w:p>
        </w:tc>
        <w:tc>
          <w:tcPr>
            <w:tcW w:type="dxa" w:w="2880"/>
          </w:tcPr>
          <w:p>
            <w:pPr>
              <w:spacing w:line="240" w:lineRule="auto" w:after="40"/>
            </w:pPr>
            <w:r>
              <w:rPr>
                <w:b/>
                <w:sz w:val="20"/>
              </w:rPr>
            </w:r>
            <w:r>
              <w:rPr>
                <w:b/>
                <w:sz w:val="20"/>
              </w:rPr>
              <w:t>Notes</w:t>
            </w:r>
          </w:p>
        </w:tc>
      </w:tr>
      <w:tr>
        <w:tc>
          <w:tcPr>
            <w:tcW w:type="dxa" w:w="2880"/>
          </w:tcPr>
          <w:p>
            <w:pPr>
              <w:spacing w:line="240" w:lineRule="auto" w:after="40"/>
            </w:pPr>
            <w:r>
              <w:rPr>
                <w:sz w:val="20"/>
              </w:rPr>
            </w:r>
            <w:r>
              <w:rPr>
                <w:sz w:val="20"/>
              </w:rPr>
              <w:t>Kirichenko &amp; Chernyakov</w:t>
            </w:r>
          </w:p>
        </w:tc>
        <w:tc>
          <w:tcPr>
            <w:tcW w:type="dxa" w:w="2880"/>
          </w:tcPr>
          <w:p>
            <w:pPr>
              <w:spacing w:line="240" w:lineRule="auto" w:after="40"/>
            </w:pPr>
            <w:r>
              <w:rPr>
                <w:sz w:val="20"/>
              </w:rPr>
            </w:r>
            <w:r>
              <w:rPr>
                <w:rFonts w:ascii="Consolas" w:hAnsi="Consolas"/>
                <w:sz w:val="20"/>
              </w:rPr>
              <w:t>K = 0.171(1 + 0.324×10⁻³α²)^{1/4} / (0.018α)^{1/2}</w:t>
            </w:r>
          </w:p>
        </w:tc>
        <w:tc>
          <w:tcPr>
            <w:tcW w:type="dxa" w:w="2880"/>
          </w:tcPr>
          <w:p>
            <w:pPr>
              <w:spacing w:line="240" w:lineRule="auto" w:after="40"/>
            </w:pPr>
            <w:r>
              <w:rPr>
                <w:sz w:val="20"/>
              </w:rPr>
            </w:r>
            <w:r>
              <w:rPr>
                <w:b/>
                <w:sz w:val="20"/>
              </w:rPr>
              <w:t>[V]</w:t>
            </w:r>
          </w:p>
        </w:tc>
      </w:tr>
      <w:tr>
        <w:tc>
          <w:tcPr>
            <w:tcW w:type="dxa" w:w="2880"/>
          </w:tcPr>
          <w:p>
            <w:pPr>
              <w:spacing w:line="240" w:lineRule="auto" w:after="40"/>
            </w:pPr>
            <w:r>
              <w:rPr>
                <w:sz w:val="20"/>
              </w:rPr>
            </w:r>
            <w:r>
              <w:rPr>
                <w:sz w:val="20"/>
              </w:rPr>
              <w:t>Ramilison et al.</w:t>
            </w:r>
          </w:p>
        </w:tc>
        <w:tc>
          <w:tcPr>
            <w:tcW w:type="dxa" w:w="2880"/>
          </w:tcPr>
          <w:p>
            <w:pPr>
              <w:spacing w:line="240" w:lineRule="auto" w:after="40"/>
            </w:pPr>
            <w:r>
              <w:rPr>
                <w:sz w:val="20"/>
              </w:rPr>
            </w:r>
            <w:r>
              <w:rPr>
                <w:rFonts w:ascii="Consolas" w:hAnsi="Consolas"/>
                <w:sz w:val="20"/>
              </w:rPr>
              <w:t>K = 0.0044 (π − α)³ R_a^{0.125}</w:t>
            </w:r>
          </w:p>
        </w:tc>
        <w:tc>
          <w:tcPr>
            <w:tcW w:type="dxa" w:w="2880"/>
          </w:tcPr>
          <w:p>
            <w:pPr>
              <w:spacing w:line="240" w:lineRule="auto" w:after="40"/>
            </w:pPr>
            <w:r>
              <w:rPr>
                <w:sz w:val="20"/>
              </w:rPr>
            </w:r>
            <w:r>
              <w:rPr>
                <w:b/>
                <w:sz w:val="20"/>
              </w:rPr>
              <w:t>[V]</w:t>
            </w:r>
            <w:r>
              <w:rPr>
                <w:sz w:val="20"/>
              </w:rPr>
              <w:t xml:space="preserve"> contact angle *and* roughness</w:t>
            </w:r>
          </w:p>
        </w:tc>
      </w:tr>
      <w:tr>
        <w:tc>
          <w:tcPr>
            <w:tcW w:type="dxa" w:w="2880"/>
          </w:tcPr>
          <w:p>
            <w:pPr>
              <w:spacing w:line="240" w:lineRule="auto" w:after="40"/>
            </w:pPr>
            <w:r>
              <w:rPr>
                <w:sz w:val="20"/>
              </w:rPr>
            </w:r>
            <w:r>
              <w:rPr>
                <w:sz w:val="20"/>
              </w:rPr>
              <w:t>Kim et al.</w:t>
            </w:r>
          </w:p>
        </w:tc>
        <w:tc>
          <w:tcPr>
            <w:tcW w:type="dxa" w:w="2880"/>
          </w:tcPr>
          <w:p>
            <w:pPr>
              <w:spacing w:line="240" w:lineRule="auto" w:after="40"/>
            </w:pPr>
            <w:r>
              <w:rPr>
                <w:sz w:val="20"/>
              </w:rPr>
            </w:r>
            <w:r>
              <w:rPr>
                <w:sz w:val="20"/>
              </w:rPr>
              <w:t>see §4.2 Eq. (21)</w:t>
            </w:r>
          </w:p>
        </w:tc>
        <w:tc>
          <w:tcPr>
            <w:tcW w:type="dxa" w:w="2880"/>
          </w:tcPr>
          <w:p>
            <w:pPr>
              <w:spacing w:line="240" w:lineRule="auto" w:after="40"/>
            </w:pPr>
            <w:r>
              <w:rPr>
                <w:sz w:val="20"/>
              </w:rPr>
            </w:r>
            <w:r>
              <w:rPr>
                <w:b/>
                <w:sz w:val="20"/>
              </w:rPr>
              <w:t>[V]</w:t>
            </w:r>
            <w:r>
              <w:rPr>
                <w:sz w:val="20"/>
              </w:rPr>
              <w:t xml:space="preserve"> angle + roughness + peak spacing</w:t>
            </w:r>
          </w:p>
        </w:tc>
      </w:tr>
      <w:tr>
        <w:tc>
          <w:tcPr>
            <w:tcW w:type="dxa" w:w="2880"/>
          </w:tcPr>
          <w:p>
            <w:pPr>
              <w:spacing w:line="240" w:lineRule="auto" w:after="40"/>
            </w:pPr>
            <w:r>
              <w:rPr>
                <w:sz w:val="20"/>
              </w:rPr>
            </w:r>
            <w:r>
              <w:rPr>
                <w:sz w:val="20"/>
              </w:rPr>
              <w:t>Kandlikar</w:t>
            </w:r>
          </w:p>
        </w:tc>
        <w:tc>
          <w:tcPr>
            <w:tcW w:type="dxa" w:w="2880"/>
          </w:tcPr>
          <w:p>
            <w:pPr>
              <w:spacing w:line="240" w:lineRule="auto" w:after="40"/>
            </w:pPr>
            <w:r>
              <w:rPr>
                <w:sz w:val="20"/>
              </w:rPr>
            </w:r>
            <w:r>
              <w:rPr>
                <w:sz w:val="20"/>
              </w:rPr>
              <w:t>see §4.3</w:t>
            </w:r>
          </w:p>
        </w:tc>
        <w:tc>
          <w:tcPr>
            <w:tcW w:type="dxa" w:w="2880"/>
          </w:tcPr>
          <w:p>
            <w:pPr>
              <w:spacing w:line="240" w:lineRule="auto" w:after="40"/>
            </w:pPr>
            <w:r>
              <w:rPr>
                <w:sz w:val="20"/>
              </w:rPr>
            </w:r>
            <w:r>
              <w:rPr>
                <w:b/>
                <w:sz w:val="20"/>
              </w:rPr>
              <w:t>[V]</w:t>
            </w:r>
            <w:r>
              <w:rPr>
                <w:sz w:val="20"/>
              </w:rPr>
              <w:t xml:space="preserve"> angle + orientation</w:t>
            </w:r>
          </w:p>
        </w:tc>
      </w:tr>
      <w:tr>
        <w:tc>
          <w:tcPr>
            <w:tcW w:type="dxa" w:w="2880"/>
          </w:tcPr>
          <w:p>
            <w:pPr>
              <w:spacing w:line="240" w:lineRule="auto" w:after="40"/>
            </w:pPr>
            <w:r>
              <w:rPr>
                <w:sz w:val="20"/>
              </w:rPr>
            </w:r>
            <w:r>
              <w:rPr>
                <w:sz w:val="20"/>
              </w:rPr>
              <w:t>Theofanous &amp; Dinh / Kim</w:t>
            </w:r>
          </w:p>
        </w:tc>
        <w:tc>
          <w:tcPr>
            <w:tcW w:type="dxa" w:w="2880"/>
          </w:tcPr>
          <w:p>
            <w:pPr>
              <w:spacing w:line="240" w:lineRule="auto" w:after="40"/>
            </w:pPr>
            <w:r>
              <w:rPr>
                <w:sz w:val="20"/>
              </w:rPr>
            </w:r>
            <w:r>
              <w:rPr>
                <w:sz w:val="20"/>
              </w:rPr>
              <w:t>Eq. (38) above</w:t>
            </w:r>
          </w:p>
        </w:tc>
        <w:tc>
          <w:tcPr>
            <w:tcW w:type="dxa" w:w="2880"/>
          </w:tcPr>
          <w:p>
            <w:pPr>
              <w:spacing w:line="240" w:lineRule="auto" w:after="40"/>
            </w:pPr>
            <w:r>
              <w:rPr>
                <w:sz w:val="20"/>
              </w:rPr>
            </w:r>
            <w:r>
              <w:rPr>
                <w:b/>
                <w:sz w:val="20"/>
              </w:rPr>
              <w:t>[V]</w:t>
            </w:r>
          </w:p>
        </w:tc>
      </w:tr>
    </w:tbl>
    <w:p/>
    <w:p>
      <w:pPr>
        <w:jc w:val="both"/>
      </w:pPr>
      <w:r>
        <w:t xml:space="preserve">Note α in these expressions is in </w:t>
      </w:r>
      <w:r>
        <w:rPr>
          <w:b/>
        </w:rPr>
        <w:t>degrees</w:t>
      </w:r>
      <w:r>
        <w:t xml:space="preserve"> for Kirichenko &amp; Chernyakov and Ramilison</w:t>
      </w:r>
    </w:p>
    <w:p>
      <w:pPr>
        <w:jc w:val="both"/>
      </w:pPr>
      <w:r>
        <w:t xml:space="preserve">(the </w:t>
      </w:r>
      <w:r>
        <w:rPr>
          <w:rFonts w:ascii="Consolas" w:hAnsi="Consolas"/>
          <w:sz w:val="21"/>
        </w:rPr>
        <w:t>(π − α)³</w:t>
      </w:r>
      <w:r>
        <w:t xml:space="preserve"> form implies radians for Ramilison — **this unit ambiguity must be</w:t>
      </w:r>
    </w:p>
    <w:p>
      <w:pPr>
        <w:jc w:val="both"/>
      </w:pPr>
      <w:r>
        <w:t>resolved against the primary sources before use**).</w:t>
      </w:r>
    </w:p>
    <w:p>
      <w:pPr>
        <w:pStyle w:val="Heading3"/>
      </w:pPr>
      <w:r>
        <w:rPr>
          <w:rFonts w:ascii="Times New Roman" w:hAnsi="Times New Roman"/>
          <w:color w:val="000000"/>
        </w:rPr>
        <w:t>4.2 Surface roughness</w:t>
      </w:r>
    </w:p>
    <w:p>
      <w:pPr>
        <w:jc w:val="both"/>
      </w:pPr>
      <w:r>
        <w:t xml:space="preserve">Same pattern of disagreement </w:t>
      </w:r>
      <w:r>
        <w:rPr>
          <w:b/>
        </w:rPr>
        <w:t>[V]</w:t>
      </w:r>
      <w:r>
        <w:t>:</w:t>
      </w:r>
    </w:p>
    <w:p>
      <w:pPr>
        <w:pStyle w:val="ListBullet"/>
        <w:spacing w:line="360" w:lineRule="auto"/>
      </w:pPr>
      <w:r>
        <w:t>*No effect:* O'Hanley et al., Berenson, Lyon, Ramilison &amp; Lienhard, Nishio &amp; Chandratilleke.</w:t>
      </w:r>
    </w:p>
    <w:p>
      <w:pPr>
        <w:pStyle w:val="ListBullet"/>
        <w:spacing w:line="360" w:lineRule="auto"/>
      </w:pPr>
      <w:r>
        <w:t>*Effect:* Bailey et al. (CHF above Eq. 15 prediction, attributed to roughness);</w:t>
      </w:r>
    </w:p>
    <w:p>
      <w:pPr>
        <w:jc w:val="both"/>
      </w:pPr>
      <w:r>
        <w:t xml:space="preserve">Guan et al. (up to </w:t>
      </w:r>
      <w:r>
        <w:rPr>
          <w:b/>
        </w:rPr>
        <w:t>15% enhancement</w:t>
      </w:r>
      <w:r>
        <w:t xml:space="preserve"> at </w:t>
      </w:r>
      <w:r>
        <w:rPr>
          <w:rFonts w:ascii="Consolas" w:hAnsi="Consolas"/>
          <w:sz w:val="21"/>
        </w:rPr>
        <w:t>R_a</w:t>
      </w:r>
      <w:r>
        <w:t xml:space="preserve"> = 5 µm vs. smooth, for pentane/hexane/FC-72).</w:t>
      </w:r>
    </w:p>
    <w:p>
      <w:pPr>
        <w:pStyle w:val="ListBullet"/>
        <w:spacing w:line="360" w:lineRule="auto"/>
      </w:pPr>
      <w:r>
        <w:t>*Strong effect:* Kim et al., copper, water, moderate wettability α = 60–70°: CHF rose</w:t>
      </w:r>
    </w:p>
    <w:p>
      <w:pPr>
        <w:jc w:val="both"/>
      </w:pPr>
      <w:r>
        <w:t xml:space="preserve">from </w:t>
      </w:r>
      <w:r>
        <w:rPr>
          <w:b/>
        </w:rPr>
        <w:t>77.5 W/cm² at `R_a` = 0.041 µm to 162.5 W/cm² at `R_a` = 2.36 µm</w:t>
      </w:r>
      <w:r>
        <w:t xml:space="preserve"> — a 2.1×</w:t>
      </w:r>
    </w:p>
    <w:p>
      <w:pPr>
        <w:jc w:val="both"/>
      </w:pPr>
      <w:r>
        <w:t xml:space="preserve">increase, ascribed to </w:t>
      </w:r>
      <w:r>
        <w:rPr>
          <w:b/>
        </w:rPr>
        <w:t>capillary wicking</w:t>
      </w:r>
      <w:r>
        <w:t xml:space="preserve"> on the rougher surface.</w:t>
      </w:r>
    </w:p>
    <w:p>
      <w:pPr>
        <w:pStyle w:val="ListBullet"/>
        <w:spacing w:line="360" w:lineRule="auto"/>
      </w:pPr>
      <w:r>
        <w:t>*Saturating effect:* Kim et al. on superhydrophilic aluminium (α = 7–16.3°): CHF rose</w:t>
      </w:r>
    </w:p>
    <w:p>
      <w:pPr>
        <w:jc w:val="both"/>
      </w:pPr>
      <w:r>
        <w:t xml:space="preserve">from 165 to 215 W/cm² between </w:t>
      </w:r>
      <w:r>
        <w:rPr>
          <w:rFonts w:ascii="Consolas" w:hAnsi="Consolas"/>
          <w:sz w:val="21"/>
        </w:rPr>
        <w:t>R_a</w:t>
      </w:r>
      <w:r>
        <w:t xml:space="preserve"> = 0.11 and 0.35 µm, then became **negligibly</w:t>
      </w:r>
    </w:p>
    <w:p>
      <w:pPr>
        <w:jc w:val="both"/>
      </w:pPr>
      <w:r>
        <w:t xml:space="preserve">dependent** on roughness over 0.35 &lt; </w:t>
      </w:r>
      <w:r>
        <w:rPr>
          <w:rFonts w:ascii="Consolas" w:hAnsi="Consolas"/>
          <w:sz w:val="21"/>
        </w:rPr>
        <w:t>R_a</w:t>
      </w:r>
      <w:r>
        <w:t xml:space="preserve"> ≤ 2.93 µm.</w:t>
      </w:r>
    </w:p>
    <w:p>
      <w:pPr>
        <w:jc w:val="both"/>
      </w:pPr>
      <w:r>
        <w:rPr>
          <w:b/>
        </w:rPr>
        <w:t>Kim et al. combined roughness + wettability correlation</w:t>
      </w:r>
      <w:r>
        <w:t xml:space="preserve"> — the single most useful</w:t>
      </w:r>
    </w:p>
    <w:p>
      <w:pPr>
        <w:jc w:val="both"/>
      </w:pPr>
      <w:r>
        <w:t xml:space="preserve">closed form for the outline's purposes </w:t>
      </w:r>
      <w:r>
        <w:rPr>
          <w:b/>
        </w:rPr>
        <w:t>[V]</w:t>
      </w:r>
      <w:r>
        <w:t>:</w:t>
      </w:r>
    </w:p>
    <w:p>
      <w:pPr>
        <w:spacing w:line="240" w:lineRule="auto" w:after="200" w:before="120"/>
        <w:ind w:left="360"/>
      </w:pPr>
      <w:r>
        <w:rPr>
          <w:rFonts w:ascii="Consolas" w:hAnsi="Consolas"/>
          <w:sz w:val="18"/>
        </w:rPr>
        <w:t xml:space="preserve">        ⎧ (1 + cos α)  ⎡ 2     π                       cos α    R_a ⎤ ⎫^(1/2)</w:t>
        <w:br/>
        <w:t>K = 0.811⎨ ─────────── ⎢ ─  +  ─ (1 + cos α) + 351.2 ─────────  ─── ⎥ ⎬</w:t>
        <w:br/>
        <w:t xml:space="preserve">        ⎩      16      ⎣ π     4                     1 + cos α   S_m ⎦ ⎭     (21)</w:t>
      </w:r>
    </w:p>
    <w:p>
      <w:pPr>
        <w:jc w:val="both"/>
      </w:pPr>
      <w:r>
        <w:t xml:space="preserve">where </w:t>
      </w:r>
      <w:r>
        <w:rPr>
          <w:rFonts w:ascii="Consolas" w:hAnsi="Consolas"/>
          <w:sz w:val="21"/>
        </w:rPr>
        <w:t>S_m</w:t>
      </w:r>
      <w:r>
        <w:t xml:space="preserve"> is the </w:t>
      </w:r>
      <w:r>
        <w:rPr>
          <w:b/>
        </w:rPr>
        <w:t>mean spacing between roughness peaks</w:t>
      </w:r>
      <w:r>
        <w:t>. Note this needs *two*</w:t>
      </w:r>
    </w:p>
    <w:p>
      <w:pPr>
        <w:jc w:val="both"/>
      </w:pPr>
      <w:r>
        <w:t>roughness descriptors (</w:t>
      </w:r>
      <w:r>
        <w:rPr>
          <w:rFonts w:ascii="Consolas" w:hAnsi="Consolas"/>
          <w:sz w:val="21"/>
        </w:rPr>
        <w:t>R_a</w:t>
      </w:r>
      <w:r>
        <w:t xml:space="preserve"> and </w:t>
      </w:r>
      <w:r>
        <w:rPr>
          <w:rFonts w:ascii="Consolas" w:hAnsi="Consolas"/>
          <w:sz w:val="21"/>
        </w:rPr>
        <w:t>S_m</w:t>
      </w:r>
      <w:r>
        <w:t>), not one — amplitude alone is insufficient.</w:t>
      </w:r>
    </w:p>
    <w:p>
      <w:pPr>
        <w:ind w:left="480" w:right="480"/>
      </w:pPr>
      <w:r>
        <w:rPr>
          <w:b/>
          <w:i/>
        </w:rPr>
        <w:t>Data gap in our repository.</w:t>
      </w:r>
      <w:r>
        <w:rPr>
          <w:i/>
        </w:rPr>
        <w:t xml:space="preserve"> </w:t>
      </w:r>
      <w:r>
        <w:rPr>
          <w:rFonts w:ascii="Consolas" w:hAnsi="Consolas"/>
          <w:i/>
          <w:sz w:val="21"/>
        </w:rPr>
        <w:t>master_chf_dataset.csv</w:t>
      </w:r>
      <w:r>
        <w:rPr>
          <w:i/>
        </w:rPr>
        <w:t xml:space="preserve"> has </w:t>
      </w:r>
      <w:r>
        <w:rPr>
          <w:rFonts w:ascii="Consolas" w:hAnsi="Consolas"/>
          <w:i/>
          <w:sz w:val="21"/>
        </w:rPr>
        <w:t>roughness_factor</w:t>
      </w:r>
      <w:r>
        <w:rPr>
          <w:i/>
        </w:rPr>
        <w:t xml:space="preserve"> at </w:t>
      </w:r>
      <w:r>
        <w:rPr>
          <w:b/>
          <w:i/>
        </w:rPr>
        <w:t>0.6% coverage</w:t>
      </w:r>
      <w:r>
        <w:rPr>
          <w:i/>
        </w:rPr>
        <w:t xml:space="preserve"> and no </w:t>
      </w:r>
      <w:r>
        <w:rPr>
          <w:rFonts w:ascii="Consolas" w:hAnsi="Consolas"/>
          <w:i/>
          <w:sz w:val="21"/>
        </w:rPr>
        <w:t>S_m</w:t>
      </w:r>
      <w:r>
        <w:rPr>
          <w:i/>
        </w:rPr>
        <w:t>, no contact angle column at all. The outline's Gap 1 and the SHAP ranking it proposes (contact angle, roughness among the top features) are not currently supportable from our merged data. This is the single largest gap between the outline's ambition and the dataset's reality, and it should be resolved before the results section is written.</w:t>
      </w:r>
    </w:p>
    <w:p>
      <w:pPr>
        <w:pStyle w:val="Heading3"/>
      </w:pPr>
      <w:r>
        <w:rPr>
          <w:rFonts w:ascii="Times New Roman" w:hAnsi="Times New Roman"/>
          <w:color w:val="000000"/>
        </w:rPr>
        <w:t>4.3 Orientation</w:t>
      </w:r>
    </w:p>
    <w:p>
      <w:pPr>
        <w:jc w:val="both"/>
      </w:pPr>
      <w:r>
        <w:t>Consistent finding across Lyon, Priarone, El-Genk &amp; Bostanci, Beduz et al., Brusstar et</w:t>
      </w:r>
    </w:p>
    <w:p>
      <w:pPr>
        <w:jc w:val="both"/>
      </w:pPr>
      <w:r>
        <w:t xml:space="preserve">al. </w:t>
      </w:r>
      <w:r>
        <w:rPr>
          <w:b/>
        </w:rPr>
        <w:t>[V]</w:t>
      </w:r>
      <w:r>
        <w:t xml:space="preserve">: CHF decreases *slightly* from θ = 0° to 90°, then </w:t>
      </w:r>
      <w:r>
        <w:rPr>
          <w:b/>
        </w:rPr>
        <w:t>rapidly</w:t>
      </w:r>
      <w:r>
        <w:t xml:space="preserve"> toward 180° as</w:t>
      </w:r>
    </w:p>
    <w:p>
      <w:pPr>
        <w:jc w:val="both"/>
      </w:pPr>
      <w:r>
        <w:t>buoyancy traps vapour against the surface.</w:t>
      </w:r>
    </w:p>
    <w:p>
      <w:pPr>
        <w:jc w:val="both"/>
      </w:pPr>
      <w:r>
        <w:t xml:space="preserve">Howard &amp; Mudawar's photographic study identifies three mechanism regions </w:t>
      </w:r>
      <w:r>
        <w:rPr>
          <w:b/>
        </w:rPr>
        <w:t>[V]</w:t>
      </w:r>
      <w:r>
        <w:t>:</w:t>
      </w:r>
    </w:p>
    <w:p>
      <w:pPr>
        <w:pStyle w:val="ListBullet"/>
        <w:spacing w:line="360" w:lineRule="auto"/>
      </w:pPr>
      <w:r>
        <w:rPr>
          <w:b/>
        </w:rPr>
        <w:t>θ = 0–60°</w:t>
      </w:r>
      <w:r>
        <w:t xml:space="preserve"> (upward-facing): buoyancy removes vapour vertically.</w:t>
      </w:r>
    </w:p>
    <w:p>
      <w:pPr>
        <w:pStyle w:val="ListBullet"/>
        <w:spacing w:line="360" w:lineRule="auto"/>
      </w:pPr>
      <w:r>
        <w:rPr>
          <w:b/>
        </w:rPr>
        <w:t>θ = 60–165°</w:t>
      </w:r>
      <w:r>
        <w:t xml:space="preserve"> (near-vertical): a wavy liquid–vapour interface propagates along the surface.</w:t>
      </w:r>
    </w:p>
    <w:p>
      <w:pPr>
        <w:pStyle w:val="ListBullet"/>
        <w:spacing w:line="360" w:lineRule="auto"/>
      </w:pPr>
      <w:r>
        <w:rPr>
          <w:b/>
        </w:rPr>
        <w:t>θ &gt; 165°</w:t>
      </w:r>
      <w:r>
        <w:t xml:space="preserve"> (downward-facing): vapour stratification, greatly reduced CHF.</w:t>
      </w:r>
    </w:p>
    <w:p>
      <w:pPr>
        <w:jc w:val="both"/>
      </w:pPr>
      <w:r>
        <w:t>Their conclusion is important for us: *"it is impossible to account for orientation</w:t>
      </w:r>
    </w:p>
    <w:p>
      <w:pPr>
        <w:jc w:val="both"/>
      </w:pPr>
      <w:r>
        <w:t xml:space="preserve">effects using a single CHF model,"* and three separate models should be developed. </w:t>
      </w:r>
      <w:r>
        <w:rPr>
          <w:b/>
        </w:rPr>
        <w:t>[V]</w:t>
      </w:r>
    </w:p>
    <w:p>
      <w:pPr>
        <w:jc w:val="both"/>
      </w:pPr>
      <w:r>
        <w:t xml:space="preserve">Yang et al. also found a </w:t>
      </w:r>
      <w:r>
        <w:rPr>
          <w:b/>
        </w:rPr>
        <w:t>transition angle</w:t>
      </w:r>
      <w:r>
        <w:t xml:space="preserve"> beyond which CHF drops sharply, which</w:t>
      </w:r>
    </w:p>
    <w:p>
      <w:pPr>
        <w:jc w:val="both"/>
      </w:pPr>
      <w:r>
        <w:t>*increases* with heater size while CHF *decreases*.</w:t>
      </w:r>
    </w:p>
    <w:p>
      <w:pPr>
        <w:jc w:val="both"/>
      </w:pPr>
      <w:r>
        <w:rPr>
          <w:b/>
        </w:rPr>
        <w:t>Orientation correlations for `K`</w:t>
      </w:r>
      <w:r>
        <w:t xml:space="preserve"> (Liang &amp; Mudawar Table 2, θ in degrees) </w:t>
      </w:r>
      <w:r>
        <w:rPr>
          <w:b/>
        </w:rPr>
        <w:t>[V]</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Author</w:t>
            </w:r>
          </w:p>
        </w:tc>
        <w:tc>
          <w:tcPr>
            <w:tcW w:type="dxa" w:w="2880"/>
          </w:tcPr>
          <w:p>
            <w:pPr>
              <w:spacing w:line="240" w:lineRule="auto" w:after="40"/>
            </w:pPr>
            <w:r>
              <w:rPr>
                <w:b/>
                <w:sz w:val="20"/>
              </w:rPr>
            </w:r>
            <w:r>
              <w:rPr>
                <w:rFonts w:ascii="Consolas" w:hAnsi="Consolas"/>
                <w:b/>
                <w:sz w:val="20"/>
              </w:rPr>
              <w:t>K</w:t>
            </w:r>
          </w:p>
        </w:tc>
        <w:tc>
          <w:tcPr>
            <w:tcW w:type="dxa" w:w="2880"/>
          </w:tcPr>
          <w:p>
            <w:pPr>
              <w:spacing w:line="240" w:lineRule="auto" w:after="40"/>
            </w:pPr>
            <w:r>
              <w:rPr>
                <w:b/>
                <w:sz w:val="20"/>
              </w:rPr>
            </w:r>
            <w:r>
              <w:rPr>
                <w:b/>
                <w:sz w:val="20"/>
              </w:rPr>
              <w:t>Range</w:t>
            </w:r>
          </w:p>
        </w:tc>
      </w:tr>
      <w:tr>
        <w:tc>
          <w:tcPr>
            <w:tcW w:type="dxa" w:w="2880"/>
          </w:tcPr>
          <w:p>
            <w:pPr>
              <w:spacing w:line="240" w:lineRule="auto" w:after="40"/>
            </w:pPr>
            <w:r>
              <w:rPr>
                <w:sz w:val="20"/>
              </w:rPr>
            </w:r>
            <w:r>
              <w:rPr>
                <w:b/>
                <w:sz w:val="20"/>
              </w:rPr>
              <w:t>Kandlikar</w:t>
            </w:r>
          </w:p>
        </w:tc>
        <w:tc>
          <w:tcPr>
            <w:tcW w:type="dxa" w:w="2880"/>
          </w:tcPr>
          <w:p>
            <w:pPr>
              <w:spacing w:line="240" w:lineRule="auto" w:after="40"/>
            </w:pPr>
            <w:r>
              <w:rPr>
                <w:sz w:val="20"/>
              </w:rPr>
            </w:r>
            <w:r>
              <w:rPr>
                <w:rFonts w:ascii="Consolas" w:hAnsi="Consolas"/>
                <w:sz w:val="20"/>
              </w:rPr>
              <w:t>K = [(1+cos α)/16] · [ 2/π + (π/4)(1 + cos α) cos θ ]^{1/2}</w:t>
            </w:r>
          </w:p>
        </w:tc>
        <w:tc>
          <w:tcPr>
            <w:tcW w:type="dxa" w:w="2880"/>
          </w:tcPr>
          <w:p>
            <w:pPr>
              <w:spacing w:line="240" w:lineRule="auto" w:after="40"/>
            </w:pPr>
            <w:r>
              <w:rPr>
                <w:sz w:val="20"/>
              </w:rPr>
            </w:r>
            <w:r>
              <w:rPr>
                <w:sz w:val="20"/>
              </w:rPr>
              <w:t>θ = 0–90°</w:t>
            </w:r>
          </w:p>
        </w:tc>
      </w:tr>
      <w:tr>
        <w:tc>
          <w:tcPr>
            <w:tcW w:type="dxa" w:w="2880"/>
          </w:tcPr>
          <w:p>
            <w:pPr>
              <w:spacing w:line="240" w:lineRule="auto" w:after="40"/>
            </w:pPr>
            <w:r>
              <w:rPr>
                <w:sz w:val="20"/>
              </w:rPr>
            </w:r>
            <w:r>
              <w:rPr>
                <w:sz w:val="20"/>
              </w:rPr>
              <w:t>Liao et al.</w:t>
            </w:r>
          </w:p>
        </w:tc>
        <w:tc>
          <w:tcPr>
            <w:tcW w:type="dxa" w:w="2880"/>
          </w:tcPr>
          <w:p>
            <w:pPr>
              <w:spacing w:line="240" w:lineRule="auto" w:after="40"/>
            </w:pPr>
            <w:r>
              <w:rPr>
                <w:sz w:val="20"/>
              </w:rPr>
            </w:r>
            <w:r>
              <w:rPr>
                <w:rFonts w:ascii="Consolas" w:hAnsi="Consolas"/>
                <w:sz w:val="20"/>
              </w:rPr>
              <w:t>K = 0.131[−0.73 + 1.73/(1+10^{−0.021(185.4−θ)})]·[1 + ((55−α)/100)(0.56 − 0.0013θ)]</w:t>
            </w:r>
          </w:p>
        </w:tc>
        <w:tc>
          <w:tcPr>
            <w:tcW w:type="dxa" w:w="2880"/>
          </w:tcPr>
          <w:p>
            <w:pPr>
              <w:spacing w:line="240" w:lineRule="auto" w:after="40"/>
            </w:pPr>
            <w:r>
              <w:rPr>
                <w:sz w:val="20"/>
              </w:rPr>
            </w:r>
            <w:r>
              <w:rPr>
                <w:sz w:val="20"/>
              </w:rPr>
              <w:t>θ = 0–180°</w:t>
            </w:r>
          </w:p>
        </w:tc>
      </w:tr>
      <w:tr>
        <w:tc>
          <w:tcPr>
            <w:tcW w:type="dxa" w:w="2880"/>
          </w:tcPr>
          <w:p>
            <w:pPr>
              <w:spacing w:line="240" w:lineRule="auto" w:after="40"/>
            </w:pPr>
            <w:r>
              <w:rPr>
                <w:sz w:val="20"/>
              </w:rPr>
            </w:r>
            <w:r>
              <w:rPr>
                <w:sz w:val="20"/>
              </w:rPr>
              <w:t>Priarone</w:t>
            </w:r>
          </w:p>
        </w:tc>
        <w:tc>
          <w:tcPr>
            <w:tcW w:type="dxa" w:w="2880"/>
          </w:tcPr>
          <w:p>
            <w:pPr>
              <w:spacing w:line="240" w:lineRule="auto" w:after="40"/>
            </w:pPr>
            <w:r>
              <w:rPr>
                <w:sz w:val="20"/>
              </w:rPr>
            </w:r>
            <w:r>
              <w:rPr>
                <w:rFonts w:ascii="Consolas" w:hAnsi="Consolas"/>
                <w:sz w:val="20"/>
              </w:rPr>
              <w:t>K_FC-72 = 0.165 f(θ)</w:t>
            </w:r>
            <w:r>
              <w:rPr>
                <w:sz w:val="20"/>
              </w:rPr>
              <w:t xml:space="preserve">, </w:t>
            </w:r>
            <w:r>
              <w:rPr>
                <w:rFonts w:ascii="Consolas" w:hAnsi="Consolas"/>
                <w:sz w:val="20"/>
              </w:rPr>
              <w:t>K_HFE-7100 = 0.21 f(θ)</w:t>
            </w:r>
            <w:r>
              <w:rPr>
                <w:sz w:val="20"/>
              </w:rPr>
              <w:t xml:space="preserve">, </w:t>
            </w:r>
            <w:r>
              <w:rPr>
                <w:rFonts w:ascii="Consolas" w:hAnsi="Consolas"/>
                <w:sz w:val="20"/>
              </w:rPr>
              <w:t>f(θ) = 1 − 0.001117θ + 7.79401×10⁻⁶θ² − 1.37678×10⁻⁷θ³</w:t>
            </w:r>
          </w:p>
        </w:tc>
        <w:tc>
          <w:tcPr>
            <w:tcW w:type="dxa" w:w="2880"/>
          </w:tcPr>
          <w:p>
            <w:pPr>
              <w:spacing w:line="240" w:lineRule="auto" w:after="40"/>
            </w:pPr>
            <w:r>
              <w:rPr>
                <w:sz w:val="20"/>
              </w:rPr>
            </w:r>
            <w:r>
              <w:rPr>
                <w:sz w:val="20"/>
              </w:rPr>
              <w:t>θ = 0–175°</w:t>
            </w:r>
          </w:p>
        </w:tc>
      </w:tr>
      <w:tr>
        <w:tc>
          <w:tcPr>
            <w:tcW w:type="dxa" w:w="2880"/>
          </w:tcPr>
          <w:p>
            <w:pPr>
              <w:spacing w:line="240" w:lineRule="auto" w:after="40"/>
            </w:pPr>
            <w:r>
              <w:rPr>
                <w:sz w:val="20"/>
              </w:rPr>
            </w:r>
            <w:r>
              <w:rPr>
                <w:sz w:val="20"/>
              </w:rPr>
              <w:t>El-Genk &amp; Bostanci</w:t>
            </w:r>
          </w:p>
        </w:tc>
        <w:tc>
          <w:tcPr>
            <w:tcW w:type="dxa" w:w="2880"/>
          </w:tcPr>
          <w:p>
            <w:pPr>
              <w:spacing w:line="240" w:lineRule="auto" w:after="40"/>
            </w:pPr>
            <w:r>
              <w:rPr>
                <w:sz w:val="20"/>
              </w:rPr>
            </w:r>
            <w:r>
              <w:rPr>
                <w:rFonts w:ascii="Consolas" w:hAnsi="Consolas"/>
                <w:sz w:val="20"/>
              </w:rPr>
              <w:t>K = [(0.229 − 4.27×10⁻⁴θ)^{−6} + (0.577 − 2.98×10⁻³θ)^{−6}]^{−1/6}</w:t>
            </w:r>
          </w:p>
        </w:tc>
        <w:tc>
          <w:tcPr>
            <w:tcW w:type="dxa" w:w="2880"/>
          </w:tcPr>
          <w:p>
            <w:pPr>
              <w:spacing w:line="240" w:lineRule="auto" w:after="40"/>
            </w:pPr>
            <w:r>
              <w:rPr>
                <w:sz w:val="20"/>
              </w:rPr>
            </w:r>
            <w:r>
              <w:rPr>
                <w:sz w:val="20"/>
              </w:rPr>
              <w:t>θ = 0–180°</w:t>
            </w:r>
          </w:p>
        </w:tc>
      </w:tr>
      <w:tr>
        <w:tc>
          <w:tcPr>
            <w:tcW w:type="dxa" w:w="2880"/>
          </w:tcPr>
          <w:p>
            <w:pPr>
              <w:spacing w:line="240" w:lineRule="auto" w:after="40"/>
            </w:pPr>
            <w:r>
              <w:rPr>
                <w:sz w:val="20"/>
              </w:rPr>
            </w:r>
            <w:r>
              <w:rPr>
                <w:sz w:val="20"/>
              </w:rPr>
              <w:t>Vishnev</w:t>
            </w:r>
          </w:p>
        </w:tc>
        <w:tc>
          <w:tcPr>
            <w:tcW w:type="dxa" w:w="2880"/>
          </w:tcPr>
          <w:p>
            <w:pPr>
              <w:spacing w:line="240" w:lineRule="auto" w:after="40"/>
            </w:pPr>
            <w:r>
              <w:rPr>
                <w:sz w:val="20"/>
              </w:rPr>
            </w:r>
            <w:r>
              <w:rPr>
                <w:rFonts w:ascii="Consolas" w:hAnsi="Consolas"/>
                <w:sz w:val="20"/>
              </w:rPr>
              <w:t>K = 0.0125(190 − θ)^{1/2}</w:t>
            </w:r>
          </w:p>
        </w:tc>
        <w:tc>
          <w:tcPr>
            <w:tcW w:type="dxa" w:w="2880"/>
          </w:tcPr>
          <w:p>
            <w:pPr>
              <w:spacing w:line="240" w:lineRule="auto" w:after="40"/>
            </w:pPr>
            <w:r>
              <w:rPr>
                <w:sz w:val="20"/>
              </w:rPr>
            </w:r>
            <w:r>
              <w:rPr>
                <w:sz w:val="20"/>
              </w:rPr>
              <w:t>θ = 0–180°</w:t>
            </w:r>
          </w:p>
        </w:tc>
      </w:tr>
      <w:tr>
        <w:tc>
          <w:tcPr>
            <w:tcW w:type="dxa" w:w="2880"/>
          </w:tcPr>
          <w:p>
            <w:pPr>
              <w:spacing w:line="240" w:lineRule="auto" w:after="40"/>
            </w:pPr>
            <w:r>
              <w:rPr>
                <w:sz w:val="20"/>
              </w:rPr>
            </w:r>
            <w:r>
              <w:rPr>
                <w:sz w:val="20"/>
              </w:rPr>
              <w:t>Arik &amp; Bar-Cohen</w:t>
            </w:r>
          </w:p>
        </w:tc>
        <w:tc>
          <w:tcPr>
            <w:tcW w:type="dxa" w:w="2880"/>
          </w:tcPr>
          <w:p>
            <w:pPr>
              <w:spacing w:line="240" w:lineRule="auto" w:after="40"/>
            </w:pPr>
            <w:r>
              <w:rPr>
                <w:sz w:val="20"/>
              </w:rPr>
            </w:r>
            <w:r>
              <w:rPr>
                <w:rFonts w:ascii="Consolas" w:hAnsi="Consolas"/>
                <w:sz w:val="20"/>
              </w:rPr>
              <w:t>K = 0.131(1 − 0.001117θ + 7.79401×10⁻⁶θ² − 1.37678×10⁻⁷θ³)</w:t>
            </w:r>
          </w:p>
        </w:tc>
        <w:tc>
          <w:tcPr>
            <w:tcW w:type="dxa" w:w="2880"/>
          </w:tcPr>
          <w:p>
            <w:pPr>
              <w:spacing w:line="240" w:lineRule="auto" w:after="40"/>
            </w:pPr>
            <w:r>
              <w:rPr>
                <w:sz w:val="20"/>
              </w:rPr>
            </w:r>
            <w:r>
              <w:rPr>
                <w:sz w:val="20"/>
              </w:rPr>
              <w:t>θ = 0–180°</w:t>
            </w:r>
          </w:p>
        </w:tc>
      </w:tr>
      <w:tr>
        <w:tc>
          <w:tcPr>
            <w:tcW w:type="dxa" w:w="2880"/>
          </w:tcPr>
          <w:p>
            <w:pPr>
              <w:spacing w:line="240" w:lineRule="auto" w:after="40"/>
            </w:pPr>
            <w:r>
              <w:rPr>
                <w:sz w:val="20"/>
              </w:rPr>
            </w:r>
            <w:r>
              <w:rPr>
                <w:sz w:val="20"/>
              </w:rPr>
              <w:t>Chang &amp; You</w:t>
            </w:r>
          </w:p>
        </w:tc>
        <w:tc>
          <w:tcPr>
            <w:tcW w:type="dxa" w:w="2880"/>
          </w:tcPr>
          <w:p>
            <w:pPr>
              <w:spacing w:line="240" w:lineRule="auto" w:after="40"/>
            </w:pPr>
            <w:r>
              <w:rPr>
                <w:sz w:val="20"/>
              </w:rPr>
            </w:r>
            <w:r>
              <w:rPr>
                <w:rFonts w:ascii="Consolas" w:hAnsi="Consolas"/>
                <w:sz w:val="20"/>
              </w:rPr>
              <w:t>q″/q″_max = 1 − 0.0012 θ tan(0.414θ) − 0.122 sin(0.318θ)</w:t>
            </w:r>
          </w:p>
        </w:tc>
        <w:tc>
          <w:tcPr>
            <w:tcW w:type="dxa" w:w="2880"/>
          </w:tcPr>
          <w:p>
            <w:pPr>
              <w:spacing w:line="240" w:lineRule="auto" w:after="40"/>
            </w:pPr>
            <w:r>
              <w:rPr>
                <w:sz w:val="20"/>
              </w:rPr>
            </w:r>
            <w:r>
              <w:rPr>
                <w:sz w:val="20"/>
              </w:rPr>
              <w:t>θ = 0–180°</w:t>
            </w:r>
          </w:p>
        </w:tc>
      </w:tr>
      <w:tr>
        <w:tc>
          <w:tcPr>
            <w:tcW w:type="dxa" w:w="2880"/>
          </w:tcPr>
          <w:p>
            <w:pPr>
              <w:spacing w:line="240" w:lineRule="auto" w:after="40"/>
            </w:pPr>
            <w:r>
              <w:rPr>
                <w:sz w:val="20"/>
              </w:rPr>
            </w:r>
            <w:r>
              <w:rPr>
                <w:sz w:val="20"/>
              </w:rPr>
              <w:t>El-Genk &amp; Guo</w:t>
            </w:r>
          </w:p>
        </w:tc>
        <w:tc>
          <w:tcPr>
            <w:tcW w:type="dxa" w:w="2880"/>
          </w:tcPr>
          <w:p>
            <w:pPr>
              <w:spacing w:line="240" w:lineRule="auto" w:after="40"/>
            </w:pPr>
            <w:r>
              <w:rPr>
                <w:sz w:val="20"/>
              </w:rPr>
            </w:r>
            <w:r>
              <w:rPr>
                <w:rFonts w:ascii="Consolas" w:hAnsi="Consolas"/>
                <w:sz w:val="20"/>
              </w:rPr>
              <w:t>K_water = 0.034 + 0.0037(180−θ)^{0.656}</w:t>
            </w:r>
            <w:r>
              <w:rPr>
                <w:sz w:val="20"/>
              </w:rPr>
              <w:t xml:space="preserve">; </w:t>
            </w:r>
            <w:r>
              <w:rPr>
                <w:rFonts w:ascii="Consolas" w:hAnsi="Consolas"/>
                <w:sz w:val="20"/>
              </w:rPr>
              <w:t>K_N2 = 0.033 + 0.0096(180−θ)^{0.479}</w:t>
            </w:r>
            <w:r>
              <w:rPr>
                <w:sz w:val="20"/>
              </w:rPr>
              <w:t xml:space="preserve">; </w:t>
            </w:r>
            <w:r>
              <w:rPr>
                <w:rFonts w:ascii="Consolas" w:hAnsi="Consolas"/>
                <w:sz w:val="20"/>
              </w:rPr>
              <w:t>K_He = 0.002+0.0051(180−θ)^{0.633}</w:t>
            </w:r>
          </w:p>
        </w:tc>
        <w:tc>
          <w:tcPr>
            <w:tcW w:type="dxa" w:w="2880"/>
          </w:tcPr>
          <w:p>
            <w:pPr>
              <w:spacing w:line="240" w:lineRule="auto" w:after="40"/>
            </w:pPr>
            <w:r>
              <w:rPr>
                <w:sz w:val="20"/>
              </w:rPr>
            </w:r>
            <w:r>
              <w:rPr>
                <w:sz w:val="20"/>
              </w:rPr>
              <w:t>θ = 90–180°</w:t>
            </w:r>
          </w:p>
        </w:tc>
      </w:tr>
      <w:tr>
        <w:tc>
          <w:tcPr>
            <w:tcW w:type="dxa" w:w="2880"/>
          </w:tcPr>
          <w:p>
            <w:pPr>
              <w:spacing w:line="240" w:lineRule="auto" w:after="40"/>
            </w:pPr>
            <w:r>
              <w:rPr>
                <w:sz w:val="20"/>
              </w:rPr>
            </w:r>
            <w:r>
              <w:rPr>
                <w:sz w:val="20"/>
              </w:rPr>
              <w:t>Brusstar &amp; Merte</w:t>
            </w:r>
          </w:p>
        </w:tc>
        <w:tc>
          <w:tcPr>
            <w:tcW w:type="dxa" w:w="2880"/>
          </w:tcPr>
          <w:p>
            <w:pPr>
              <w:spacing w:line="240" w:lineRule="auto" w:after="40"/>
            </w:pPr>
            <w:r>
              <w:rPr>
                <w:sz w:val="20"/>
              </w:rPr>
            </w:r>
            <w:r>
              <w:rPr>
                <w:sz w:val="20"/>
              </w:rPr>
              <w:t>`K = (π/24)\</w:t>
            </w:r>
          </w:p>
        </w:tc>
        <w:tc>
          <w:tcPr>
            <w:tcW w:type="dxa" w:w="2880"/>
          </w:tcPr>
          <w:p>
            <w:pPr>
              <w:spacing w:line="240" w:lineRule="auto" w:after="40"/>
            </w:pPr>
            <w:r>
              <w:rPr>
                <w:sz w:val="20"/>
              </w:rPr>
            </w:r>
            <w:r>
              <w:rPr>
                <w:sz w:val="20"/>
              </w:rPr>
              <w:t>sin θ\</w:t>
            </w:r>
          </w:p>
        </w:tc>
      </w:tr>
    </w:tbl>
    <w:p/>
    <w:p>
      <w:pPr>
        <w:jc w:val="both"/>
      </w:pPr>
      <w:r>
        <w:rPr>
          <w:b/>
        </w:rPr>
        <w:t>The Kandlikar model is the one to build on</w:t>
      </w:r>
      <w:r>
        <w:t xml:space="preserve"> — it is the only entry that is</w:t>
      </w:r>
    </w:p>
    <w:p>
      <w:pPr>
        <w:jc w:val="both"/>
      </w:pPr>
      <w:r>
        <w:t>simultaneously theoretical (a force balance on a bubble: evaporation momentum vs. surface</w:t>
      </w:r>
    </w:p>
    <w:p>
      <w:pPr>
        <w:jc w:val="both"/>
      </w:pPr>
      <w:r>
        <w:t>tension vs. hydrostatic) and carries *both* the receding contact angle α and the</w:t>
      </w:r>
    </w:p>
    <w:p>
      <w:pPr>
        <w:jc w:val="both"/>
      </w:pPr>
      <w:r>
        <w:t xml:space="preserve">orientation θ. Our dataset has </w:t>
      </w:r>
      <w:r>
        <w:rPr>
          <w:rFonts w:ascii="Consolas" w:hAnsi="Consolas"/>
          <w:sz w:val="21"/>
        </w:rPr>
        <w:t>orientation</w:t>
      </w:r>
      <w:r>
        <w:t xml:space="preserve"> and </w:t>
      </w:r>
      <w:r>
        <w:rPr>
          <w:rFonts w:ascii="Consolas" w:hAnsi="Consolas"/>
          <w:sz w:val="21"/>
        </w:rPr>
        <w:t>angle_deg</w:t>
      </w:r>
      <w:r>
        <w:t xml:space="preserve"> columns (0.2% coverage).</w:t>
      </w:r>
    </w:p>
    <w:p>
      <w:pPr>
        <w:pStyle w:val="Heading3"/>
      </w:pPr>
      <w:r>
        <w:rPr>
          <w:rFonts w:ascii="Times New Roman" w:hAnsi="Times New Roman"/>
          <w:color w:val="000000"/>
        </w:rPr>
        <w:t>4.4 Wickability — the modern paradigm</w:t>
      </w:r>
    </w:p>
    <w:p>
      <w:pPr>
        <w:jc w:val="both"/>
      </w:pPr>
      <w:r>
        <w:t>Rahman, Ölçeroğlu &amp; McCarthy engineered ~40 surfaces of varying wickability and showed</w:t>
      </w:r>
    </w:p>
    <w:p>
      <w:pPr>
        <w:jc w:val="both"/>
      </w:pPr>
      <w:r>
        <w:rPr>
          <w:b/>
        </w:rPr>
        <w:t>CHF increases linearly with surface wickability</w:t>
      </w:r>
      <w:r>
        <w:t xml:space="preserve"> (wicked volume flux), reaching</w:t>
      </w:r>
    </w:p>
    <w:p>
      <w:pPr>
        <w:jc w:val="both"/>
      </w:pPr>
      <w:r>
        <w:rPr>
          <w:b/>
        </w:rPr>
        <w:t>260 W/cm²</w:t>
      </w:r>
      <w:r>
        <w:t xml:space="preserve"> on the highest-wickability hierarchical structure. The controlling</w:t>
      </w:r>
    </w:p>
    <w:p>
      <w:pPr>
        <w:jc w:val="both"/>
      </w:pPr>
      <w:r>
        <w:t>mechanism is capillary-driven liquid supply to the surface, not contact angle per se.</w:t>
      </w:r>
    </w:p>
    <w:p>
      <w:pPr>
        <w:jc w:val="both"/>
      </w:pPr>
      <w:r>
        <w:t>Surfaces studied included biotemplated nanostructures, square micropillar arrays of</w:t>
      </w:r>
    </w:p>
    <w:p>
      <w:pPr>
        <w:jc w:val="both"/>
      </w:pPr>
      <w:r>
        <w:t xml:space="preserve">varying diameter/height/pitch, and hierarchical structures. </w:t>
      </w:r>
      <w:r>
        <w:rPr>
          <w:b/>
        </w:rPr>
        <w:t>[S]</w:t>
      </w:r>
      <w:r>
        <w:t xml:space="preserve"> — obtained via search</w:t>
      </w:r>
    </w:p>
    <w:p>
      <w:pPr>
        <w:jc w:val="both"/>
      </w:pPr>
      <w:r>
        <w:t>summary; the primary papers (Rahman et al., *Langmuir* 2014; *Sci. Rep.* 2017) were</w:t>
      </w:r>
    </w:p>
    <w:p>
      <w:pPr>
        <w:jc w:val="both"/>
      </w:pPr>
      <w:r>
        <w:t>paywalled/CAPTCHA-blocked and **the linear coefficient was not obtained. Must be read</w:t>
      </w:r>
    </w:p>
    <w:p>
      <w:pPr>
        <w:jc w:val="both"/>
      </w:pPr>
      <w:r>
        <w:t>before citing a number.**</w:t>
      </w:r>
    </w:p>
    <w:p>
      <w:pPr>
        <w:jc w:val="both"/>
      </w:pPr>
      <w:r>
        <w:t>This matters because it *reconciles* §4.1 and §4.2: contact angle and roughness are both</w:t>
      </w:r>
    </w:p>
    <w:p>
      <w:pPr>
        <w:jc w:val="both"/>
      </w:pPr>
      <w:r>
        <w:t>imperfect proxies for the thing that actually matters — the surface's ability to pull</w:t>
      </w:r>
    </w:p>
    <w:p>
      <w:pPr>
        <w:jc w:val="both"/>
      </w:pPr>
      <w:r>
        <w:t>liquid back to the dry spot. Kim et al.'s roughness result was already ascribed to</w:t>
      </w:r>
    </w:p>
    <w:p>
      <w:pPr>
        <w:jc w:val="both"/>
      </w:pPr>
      <w:r>
        <w:t xml:space="preserve">wicking. Our dataset's </w:t>
      </w:r>
      <w:r>
        <w:rPr>
          <w:rFonts w:ascii="Consolas" w:hAnsi="Consolas"/>
          <w:sz w:val="21"/>
        </w:rPr>
        <w:t>porosity</w:t>
      </w:r>
      <w:r>
        <w:t xml:space="preserve">, </w:t>
      </w:r>
      <w:r>
        <w:rPr>
          <w:rFonts w:ascii="Consolas" w:hAnsi="Consolas"/>
          <w:sz w:val="21"/>
        </w:rPr>
        <w:t>mbl_lateral_um</w:t>
      </w:r>
      <w:r>
        <w:t xml:space="preserve">, </w:t>
      </w:r>
      <w:r>
        <w:rPr>
          <w:rFonts w:ascii="Consolas" w:hAnsi="Consolas"/>
          <w:sz w:val="21"/>
        </w:rPr>
        <w:t>mbl_total_um</w:t>
      </w:r>
      <w:r>
        <w:t xml:space="preserve">, </w:t>
      </w:r>
      <w:r>
        <w:rPr>
          <w:rFonts w:ascii="Consolas" w:hAnsi="Consolas"/>
          <w:sz w:val="21"/>
        </w:rPr>
        <w:t>fin_spacing_um</w:t>
      </w:r>
    </w:p>
    <w:p>
      <w:pPr>
        <w:jc w:val="both"/>
      </w:pPr>
      <w:r>
        <w:t>columns are wickability-relevant geometry, at 0.6% coverage.</w:t>
      </w:r>
    </w:p>
    <w:p>
      <w:pPr>
        <w:pStyle w:val="Heading3"/>
      </w:pPr>
      <w:r>
        <w:rPr>
          <w:rFonts w:ascii="Times New Roman" w:hAnsi="Times New Roman"/>
          <w:color w:val="000000"/>
        </w:rPr>
        <w:t>4.5 Wall thermal properties — the "thermal activity" parameter</w:t>
      </w:r>
    </w:p>
    <w:p>
      <w:pPr>
        <w:jc w:val="both"/>
      </w:pPr>
      <w:r>
        <w:t>Unlike flow boiling (§1.4), in pool boiling the wall itself matters. Bar-Cohen &amp; McNeil</w:t>
      </w:r>
    </w:p>
    <w:p>
      <w:pPr>
        <w:jc w:val="both"/>
      </w:pPr>
      <w:r>
        <w:t xml:space="preserve">define </w:t>
      </w:r>
      <w:r>
        <w:rPr>
          <w:b/>
        </w:rPr>
        <w:t>[V]</w:t>
      </w:r>
      <w:r>
        <w:t>:</w:t>
      </w:r>
    </w:p>
    <w:p>
      <w:pPr>
        <w:spacing w:line="240" w:lineRule="auto" w:after="200" w:before="120"/>
        <w:ind w:left="360"/>
      </w:pPr>
      <w:r>
        <w:rPr>
          <w:rFonts w:ascii="Consolas" w:hAnsi="Consolas"/>
          <w:sz w:val="18"/>
        </w:rPr>
        <w:t>S = H · √( (ρ c_p k)_w )</w:t>
      </w:r>
    </w:p>
    <w:p>
      <w:pPr>
        <w:jc w:val="both"/>
      </w:pPr>
      <w:r>
        <w:rPr>
          <w:rFonts w:ascii="Consolas" w:hAnsi="Consolas"/>
          <w:sz w:val="21"/>
        </w:rPr>
        <w:t>H</w:t>
      </w:r>
      <w:r>
        <w:t xml:space="preserve"> = wall thickness. Then:</w:t>
      </w:r>
    </w:p>
    <w:p>
      <w:pPr>
        <w:spacing w:line="240" w:lineRule="auto" w:after="200" w:before="120"/>
        <w:ind w:left="360"/>
      </w:pPr>
      <w:r>
        <w:rPr>
          <w:rFonts w:ascii="Consolas" w:hAnsi="Consolas"/>
          <w:sz w:val="18"/>
        </w:rPr>
        <w:t>q″_CHF/q″_CHF,asy = S/(S + 0.8)     (Bar-Cohen &amp; McNeil)      (17)</w:t>
        <w:br/>
        <w:t>q″_CHF/q″_CHF,asy = S/(S + 0.1)     (Watwe &amp; Bar-Cohen)       (18)</w:t>
        <w:br/>
        <w:t>q″_CHF/q″_CHF,asy = 1 − exp[ −(S/2.44)^{0.8498} − (S/2.44)^{0.0581} ]   (Golobič &amp; Bergles, sat. FC-72)  (20)</w:t>
      </w:r>
    </w:p>
    <w:p>
      <w:pPr>
        <w:jc w:val="both"/>
      </w:pPr>
      <w:r>
        <w:t>Eq. (17) gives 90% of asymptotic CHF at S = 8, 99% at S = 85; Eq. (18) at S = 1 and 10.</w:t>
      </w:r>
    </w:p>
    <w:p>
      <w:pPr>
        <w:jc w:val="both"/>
      </w:pPr>
      <w:r>
        <w:t>Thresholds: stainless steel needs ≥ 0.8 mm to be free of heat-capacity effects</w:t>
      </w:r>
    </w:p>
    <w:p>
      <w:pPr>
        <w:jc w:val="both"/>
      </w:pPr>
      <w:r>
        <w:t xml:space="preserve">(Tachibana et al.); copper in liquid helium saturates at 0.35 mm (Grigoriev et al.). </w:t>
      </w:r>
      <w:r>
        <w:rPr>
          <w:b/>
        </w:rPr>
        <w:t>[V]</w:t>
      </w:r>
    </w:p>
    <w:p>
      <w:pPr>
        <w:jc w:val="both"/>
      </w:pPr>
      <w:r>
        <w:rPr>
          <w:b/>
        </w:rPr>
        <w:t>Watwe &amp; Bar-Cohen composite</w:t>
      </w:r>
      <w:r>
        <w:t>, combining hydrodynamics, conduction, heater size and</w:t>
      </w:r>
    </w:p>
    <w:p>
      <w:pPr>
        <w:jc w:val="both"/>
      </w:pPr>
      <w:r>
        <w:t xml:space="preserve">subcooling — a good example of a fully-assembled </w:t>
      </w:r>
      <w:r>
        <w:rPr>
          <w:rFonts w:ascii="Consolas" w:hAnsi="Consolas"/>
          <w:sz w:val="21"/>
        </w:rPr>
        <w:t>K</w:t>
      </w:r>
      <w:r>
        <w:t xml:space="preserve"> </w:t>
      </w:r>
      <w:r>
        <w:rPr>
          <w:b/>
        </w:rPr>
        <w:t>[V]</w:t>
      </w:r>
      <w:r>
        <w:t>:</w:t>
      </w:r>
    </w:p>
    <w:p>
      <w:pPr>
        <w:spacing w:line="240" w:lineRule="auto" w:after="200" w:before="120"/>
        <w:ind w:left="360"/>
      </w:pPr>
      <w:r>
        <w:rPr>
          <w:rFonts w:ascii="Consolas" w:hAnsi="Consolas"/>
          <w:sz w:val="18"/>
        </w:rPr>
        <w:t xml:space="preserve">      π   ⎛   S    ⎞ ⎧          ⎡        ⎛ g(ρ_f − ρ_g) ⎞^(1/2) ⎤ ⎫ ⎧      ⎛ρ_f⎞^(3/4) c_p,f      ⎫</w:t>
        <w:br/>
        <w:t>K =  ── · ⎜ ────── ⎟ ⎨ 1 + ⎢0.3014 − 0.01507 L ⎜ ──────────── ⎟     ⎥ ⎬ ⎨1 + 0.03⎜───⎟      ──── ΔT_sub ⎬</w:t>
        <w:br/>
        <w:t xml:space="preserve">     24   ⎝ S+0.1  ⎠ ⎩          ⎣        ⎝      σ       ⎠      ⎦ ⎭ ⎩      ⎝ρ_g⎠      h_fg      ⎭   (19)</w:t>
      </w:r>
    </w:p>
    <w:p>
      <w:pPr>
        <w:jc w:val="both"/>
      </w:pPr>
      <w:r>
        <w:t xml:space="preserve">Our dataset has </w:t>
      </w:r>
      <w:r>
        <w:rPr>
          <w:rFonts w:ascii="Consolas" w:hAnsi="Consolas"/>
          <w:sz w:val="21"/>
        </w:rPr>
        <w:t>surface_material</w:t>
      </w:r>
      <w:r>
        <w:t xml:space="preserve"> at 0.6% coverage — enough to *identify* material but</w:t>
      </w:r>
    </w:p>
    <w:p>
      <w:pPr>
        <w:jc w:val="both"/>
      </w:pPr>
      <w:r>
        <w:t xml:space="preserve">not to compute </w:t>
      </w:r>
      <w:r>
        <w:rPr>
          <w:rFonts w:ascii="Consolas" w:hAnsi="Consolas"/>
          <w:sz w:val="21"/>
        </w:rPr>
        <w:t>S</w:t>
      </w:r>
      <w:r>
        <w:t xml:space="preserve"> (no wall thickness column).</w:t>
      </w:r>
    </w:p>
    <w:p>
      <w:pPr>
        <w:pStyle w:val="Heading3"/>
      </w:pPr>
      <w:r>
        <w:rPr>
          <w:rFonts w:ascii="Times New Roman" w:hAnsi="Times New Roman"/>
          <w:color w:val="000000"/>
        </w:rPr>
        <w:t xml:space="preserve">4.6 Pressure and viscosity effects on </w:t>
      </w:r>
      <w:r>
        <w:rPr>
          <w:rFonts w:ascii="Times New Roman" w:hAnsi="Times New Roman"/>
          <w:color w:val="000000"/>
          <w:sz w:val="21"/>
        </w:rPr>
        <w:t>K</w:t>
      </w:r>
    </w:p>
    <w:p>
      <w:pPr>
        <w:jc w:val="both"/>
      </w:pPr>
      <w:r>
        <w:rPr>
          <w:b/>
        </w:rPr>
        <w:t>[V]</w:t>
      </w:r>
      <w:r>
        <w:t xml:space="preserve"> Deev et al.: helium data fit Eq. (4) with </w:t>
      </w:r>
      <w:r>
        <w:rPr>
          <w:b/>
        </w:rPr>
        <w:t>K = 0.2</w:t>
      </w:r>
      <w:r>
        <w:t xml:space="preserve"> for </w:t>
      </w:r>
      <w:r>
        <w:rPr>
          <w:rFonts w:ascii="Consolas" w:hAnsi="Consolas"/>
          <w:sz w:val="21"/>
        </w:rPr>
        <w:t>P/P_c ≤ 0.75</w:t>
      </w:r>
      <w:r>
        <w:t>; above</w:t>
      </w:r>
    </w:p>
    <w:p>
      <w:pPr>
        <w:jc w:val="both"/>
      </w:pPr>
      <w:r>
        <w:t>0.75 the Kutateladze–Zuber form breaks down entirely. Labuntsov et al.: water and ethanol</w:t>
      </w:r>
    </w:p>
    <w:p>
      <w:pPr>
        <w:jc w:val="both"/>
      </w:pPr>
      <w:r>
        <w:t xml:space="preserve">show </w:t>
      </w:r>
      <w:r>
        <w:rPr>
          <w:rFonts w:ascii="Consolas" w:hAnsi="Consolas"/>
          <w:sz w:val="21"/>
        </w:rPr>
        <w:t>(P/P_c)^{0.15}</w:t>
      </w:r>
      <w:r>
        <w:t xml:space="preserve"> dependence. Dhir and Wang et al. independently place the CHF</w:t>
      </w:r>
    </w:p>
    <w:p>
      <w:pPr>
        <w:jc w:val="both"/>
      </w:pPr>
      <w:r>
        <w:rPr>
          <w:b/>
        </w:rPr>
        <w:t>maximum at `P/P_c ≈ 0.35`</w:t>
      </w:r>
      <w:r>
        <w:t>.</w:t>
      </w:r>
    </w:p>
    <w:p>
      <w:pPr>
        <w:spacing w:line="240" w:lineRule="auto" w:after="200" w:before="120"/>
        <w:ind w:left="360"/>
      </w:pPr>
      <w:r>
        <w:rPr>
          <w:rFonts w:ascii="Consolas" w:hAnsi="Consolas"/>
          <w:sz w:val="18"/>
        </w:rPr>
        <w:t>Bewilogua (cryogens):  q″/q″_max = 0.421 + 3.58(P/P_c) − 6.19(P/P_c)² + 2.21(P/P_c)³   (22)</w:t>
        <w:br/>
        <w:t>Wang et al.:           K = 0.18 − 0.14 (P/P_c)^{5.68}                                   (23)</w:t>
        <w:br/>
        <w:t>Soziev &amp; Khrizolitova (very low P):  K = 0.16{1 + [σg(ρ_f−ρ_g)]^{1/2}/P}^{1/2}         (24)</w:t>
        <w:br/>
        <w:t>Borishanskii (viscosity): K = {0.13 + 4[ρ_f σ^{3/2}/(μ_f² g(ρ_f−ρ_g))^{1/2}]}^{−2/5}   (Table 1)</w:t>
      </w:r>
    </w:p>
    <w:p>
      <w:pPr>
        <w:ind w:left="480" w:right="480"/>
      </w:pPr>
      <w:r>
        <w:rPr>
          <w:b/>
          <w:i/>
        </w:rPr>
        <w:t>The `P/P_c ≈ 0.35` maximum is a hard, checkable constraint.</w:t>
      </w:r>
      <w:r>
        <w:rPr>
          <w:i/>
        </w:rPr>
        <w:t xml:space="preserve"> Any model we build must reproduce a non-monotonic pressure trend with a peak near </w:t>
      </w:r>
      <w:r>
        <w:rPr>
          <w:rFonts w:ascii="Consolas" w:hAnsi="Consolas"/>
          <w:i/>
          <w:sz w:val="21"/>
        </w:rPr>
        <w:t>P/P_c = 0.35</w:t>
      </w:r>
      <w:r>
        <w:rPr>
          <w:i/>
        </w:rPr>
        <w:t xml:space="preserve"> (≈ 7.7 MPa for water). This is precisely the trend the existing repo notes the CoolProp-based Zuber implementation reproduces at 6–7 MPa without tuning. It is a free validation test, and a model that gets it wrong is wrong regardless of its R².</w:t>
      </w:r>
    </w:p>
    <w:p>
      <w:pPr>
        <w:jc w:val="both"/>
      </w:pPr>
      <w:r>
        <w:t>Sakashita's observation is subtle and worth noting: Kutateladze–Zuber captures the</w:t>
      </w:r>
    </w:p>
    <w:p>
      <w:pPr>
        <w:jc w:val="both"/>
      </w:pPr>
      <w:r>
        <w:t xml:space="preserve">pressure trend for ethanol and R-141b by tuning </w:t>
      </w:r>
      <w:r>
        <w:rPr>
          <w:rFonts w:ascii="Consolas" w:hAnsi="Consolas"/>
          <w:sz w:val="21"/>
        </w:rPr>
        <w:t>K</w:t>
      </w:r>
      <w:r>
        <w:t xml:space="preserve">, but </w:t>
      </w:r>
      <w:r>
        <w:rPr>
          <w:b/>
        </w:rPr>
        <w:t>underestimates it for water</w:t>
      </w:r>
      <w:r>
        <w:t xml:space="preserve"> —</w:t>
      </w:r>
    </w:p>
    <w:p>
      <w:pPr>
        <w:jc w:val="both"/>
      </w:pPr>
      <w:r>
        <w:t>because water's wettability *improves with increasing pressure* while ethanol's and</w:t>
      </w:r>
    </w:p>
    <w:p>
      <w:pPr>
        <w:jc w:val="both"/>
      </w:pPr>
      <w:r>
        <w:t xml:space="preserve">R-141b's does not. Pressure and surface effects are coupled, not separable. </w:t>
      </w:r>
      <w:r>
        <w:rPr>
          <w:b/>
        </w:rPr>
        <w:t>[V]</w:t>
      </w:r>
    </w:p>
    <w:p>
      <w:pPr>
        <w:jc w:val="center"/>
      </w:pPr>
      <w:r>
        <w:rPr>
          <w:sz w:val="20"/>
        </w:rPr>
        <w:t>• • •</w:t>
      </w:r>
    </w:p>
    <w:p>
      <w:pPr>
        <w:pStyle w:val="Heading2"/>
      </w:pPr>
      <w:r>
        <w:rPr>
          <w:rFonts w:ascii="Times New Roman" w:hAnsi="Times New Roman"/>
          <w:color w:val="000000"/>
        </w:rPr>
        <w:t>5. Flow boiling CHF — correlations</w:t>
      </w:r>
    </w:p>
    <w:p>
      <w:pPr>
        <w:pStyle w:val="Heading3"/>
      </w:pPr>
      <w:r>
        <w:rPr>
          <w:rFonts w:ascii="Times New Roman" w:hAnsi="Times New Roman"/>
          <w:color w:val="000000"/>
        </w:rPr>
        <w:t>5.1 Why there are 500+ of them</w:t>
      </w:r>
    </w:p>
    <w:p>
      <w:pPr>
        <w:jc w:val="both"/>
      </w:pPr>
      <w:r>
        <w:t xml:space="preserve">NUREG/KM-0011 §3.1 </w:t>
      </w:r>
      <w:r>
        <w:rPr>
          <w:b/>
        </w:rPr>
        <w:t>[V]</w:t>
      </w:r>
      <w:r>
        <w:t>: Clerici (1966) listed 50+ CHF correlations for water-cooled</w:t>
      </w:r>
    </w:p>
    <w:p>
      <w:pPr>
        <w:jc w:val="both"/>
      </w:pPr>
      <w:r>
        <w:t xml:space="preserve">tubes; the count now exceeds </w:t>
      </w:r>
      <w:r>
        <w:rPr>
          <w:b/>
        </w:rPr>
        <w:t>500</w:t>
      </w:r>
      <w:r>
        <w:t>. The reason is stated precisely:</w:t>
      </w:r>
    </w:p>
    <w:p>
      <w:pPr>
        <w:ind w:left="480" w:right="480"/>
      </w:pPr>
      <w:r>
        <w:rPr>
          <w:i/>
        </w:rPr>
        <w:t xml:space="preserve">"The choice of correlation parameters (P, G, X_CHF, D) is essentially correct, but the </w:t>
      </w:r>
      <w:r>
        <w:rPr>
          <w:b/>
          <w:i/>
        </w:rPr>
        <w:t>functional relationship between these parameters varies with flow conditions</w:t>
      </w:r>
      <w:r>
        <w:rPr>
          <w:i/>
        </w:rPr>
        <w:t xml:space="preserve"> — hence, the large proliferation of correlations."</w:t>
      </w:r>
    </w:p>
    <w:p>
      <w:pPr>
        <w:jc w:val="both"/>
      </w:pPr>
      <w:r>
        <w:t>And bluntly:</w:t>
      </w:r>
    </w:p>
    <w:p>
      <w:pPr>
        <w:ind w:left="480" w:right="480"/>
      </w:pPr>
      <w:r>
        <w:rPr>
          <w:i/>
        </w:rPr>
        <w:t xml:space="preserve">"none of the early flow boiling CHF correlations for tubes carry much credibility today, partially because the pool boiling CHF equations had a </w:t>
      </w:r>
      <w:r>
        <w:rPr>
          <w:b/>
          <w:i/>
        </w:rPr>
        <w:t>physical basis</w:t>
      </w:r>
      <w:r>
        <w:rPr>
          <w:i/>
        </w:rPr>
        <w:t xml:space="preserve">, whereas the tube CHF correlations were </w:t>
      </w:r>
      <w:r>
        <w:rPr>
          <w:b/>
          <w:i/>
        </w:rPr>
        <w:t>virtually all empirical</w:t>
      </w:r>
      <w:r>
        <w:rPr>
          <w:i/>
        </w:rPr>
        <w:t>."</w:t>
      </w:r>
    </w:p>
    <w:p>
      <w:pPr>
        <w:jc w:val="both"/>
      </w:pPr>
      <w:r>
        <w:t xml:space="preserve">NUREG singles out </w:t>
      </w:r>
      <w:r>
        <w:rPr>
          <w:b/>
        </w:rPr>
        <w:t>Katto (1992)</w:t>
      </w:r>
      <w:r>
        <w:t xml:space="preserve"> and </w:t>
      </w:r>
      <w:r>
        <w:rPr>
          <w:b/>
        </w:rPr>
        <w:t>Lee &amp; Mudawar (1988)</w:t>
      </w:r>
      <w:r>
        <w:t xml:space="preserve"> for special mention</w:t>
      </w:r>
    </w:p>
    <w:p>
      <w:pPr>
        <w:jc w:val="both"/>
      </w:pPr>
      <w:r>
        <w:t>because they (1) have a phenomenological basis, (2) rest on a large database, and (3) have</w:t>
      </w:r>
    </w:p>
    <w:p>
      <w:pPr>
        <w:jc w:val="both"/>
      </w:pPr>
      <w:r>
        <w:t>wider validity. That is a direct endorsement of the physics-first strategy.</w:t>
      </w:r>
    </w:p>
    <w:p>
      <w:pPr>
        <w:jc w:val="both"/>
      </w:pPr>
      <w:r>
        <w:rPr>
          <w:b/>
        </w:rPr>
        <w:t>This paragraph is the literature justification for the whole project.</w:t>
      </w:r>
      <w:r>
        <w:t xml:space="preserve"> It is the</w:t>
      </w:r>
    </w:p>
    <w:p>
      <w:pPr>
        <w:jc w:val="both"/>
      </w:pPr>
      <w:r>
        <w:t>strongest available citation for the outline's "Limitations of existing CHF correlations".</w:t>
      </w:r>
    </w:p>
    <w:p>
      <w:pPr>
        <w:pStyle w:val="Heading3"/>
      </w:pPr>
      <w:r>
        <w:rPr>
          <w:rFonts w:ascii="Times New Roman" w:hAnsi="Times New Roman"/>
          <w:color w:val="000000"/>
        </w:rPr>
        <w:t>5.2 The look-up table method</w:t>
      </w:r>
    </w:p>
    <w:p>
      <w:pPr>
        <w:jc w:val="both"/>
      </w:pPr>
      <w:r>
        <w:t>The generalisation response to the proliferation problem. Built on the local conditions</w:t>
      </w:r>
    </w:p>
    <w:p>
      <w:pPr>
        <w:jc w:val="both"/>
      </w:pPr>
      <w:r>
        <w:t>hypothesis (§1.6). The 2006 LUT covers **P = 0.1–21 MPa, G = 0–8,000 kg m⁻² s⁻¹,</w:t>
      </w:r>
    </w:p>
    <w:p>
      <w:pPr>
        <w:jc w:val="both"/>
      </w:pPr>
      <w:r>
        <w:t>x = −0.50 to 1.00</w:t>
      </w:r>
      <w:r>
        <w:rPr>
          <w:b/>
        </w:rPr>
        <w:t xml:space="preserve">, normalised to a </w:t>
      </w:r>
      <w:r>
        <w:t>vertical 8 mm water-cooled tube**, with linear</w:t>
      </w:r>
    </w:p>
    <w:p>
      <w:pPr>
        <w:jc w:val="both"/>
      </w:pPr>
      <w:r>
        <w:t xml:space="preserve">interpolation between entries. </w:t>
      </w:r>
      <w:r>
        <w:rPr>
          <w:b/>
        </w:rPr>
        <w:t>[V]</w:t>
      </w:r>
    </w:p>
    <w:p>
      <w:pPr>
        <w:jc w:val="both"/>
      </w:pPr>
      <w:r>
        <w:t xml:space="preserve">NUREG's stated advantages </w:t>
      </w:r>
      <w:r>
        <w:rPr>
          <w:b/>
        </w:rPr>
        <w:t>[V]</w:t>
      </w:r>
      <w:r>
        <w:t>: greater accuracy, wider applicability, correct</w:t>
      </w:r>
    </w:p>
    <w:p>
      <w:pPr>
        <w:jc w:val="both"/>
      </w:pPr>
      <w:r>
        <w:t>asymptotic trends, less computing time, easily updated.</w:t>
      </w:r>
    </w:p>
    <w:p>
      <w:pPr>
        <w:jc w:val="both"/>
      </w:pPr>
      <w:r>
        <w:t>Lineage: Doroshchuk et al. (1975, 5,000 points) → Groeneveld AECL-UO 1986 (15,442 points)</w:t>
      </w:r>
    </w:p>
    <w:p>
      <w:pPr>
        <w:jc w:val="both"/>
      </w:pPr>
      <w:r>
        <w:t>→ Kirillov et al. → 1995 LUT (combined ~24,000 de-duplicated points, with Huang &amp; Cheng</w:t>
      </w:r>
    </w:p>
    <w:p>
      <w:pPr>
        <w:jc w:val="both"/>
      </w:pPr>
      <w:r>
        <w:t>1994 smoothing to remove sharp variations at data/extrapolation boundaries) → 2006 LUT</w:t>
      </w:r>
    </w:p>
    <w:p>
      <w:pPr>
        <w:jc w:val="both"/>
      </w:pPr>
      <w:r>
        <w:t xml:space="preserve">(+27 further datasets). </w:t>
      </w:r>
      <w:r>
        <w:rPr>
          <w:b/>
        </w:rPr>
        <w:t>[V]</w:t>
      </w:r>
    </w:p>
    <w:p>
      <w:pPr>
        <w:ind w:left="480" w:right="480"/>
      </w:pPr>
      <w:r>
        <w:rPr>
          <w:b/>
          <w:i/>
        </w:rPr>
        <w:t>Important caveat for our project, already correctly identified in the pipeline README:</w:t>
      </w:r>
      <w:r>
        <w:rPr>
          <w:i/>
        </w:rPr>
        <w:t xml:space="preserve"> the LUT is *smoothed and partly correlation-filled*, not raw measurement. The </w:t>
      </w:r>
      <w:r>
        <w:rPr>
          <w:rFonts w:ascii="Consolas" w:hAnsi="Consolas"/>
          <w:i/>
          <w:sz w:val="21"/>
        </w:rPr>
        <w:t>unified_chf_pipeline</w:t>
      </w:r>
      <w:r>
        <w:rPr>
          <w:i/>
        </w:rPr>
        <w:t xml:space="preserve"> deliberately excludes it from the merged training data for this reason. It remains a legitimate </w:t>
      </w:r>
      <w:r>
        <w:rPr>
          <w:b/>
          <w:i/>
        </w:rPr>
        <w:t>baseline</w:t>
      </w:r>
      <w:r>
        <w:rPr>
          <w:i/>
        </w:rPr>
        <w:t xml:space="preserve"> and a legitimate </w:t>
      </w:r>
      <w:r>
        <w:rPr>
          <w:b/>
          <w:i/>
        </w:rPr>
        <w:t>normaliser</w:t>
      </w:r>
      <w:r>
        <w:rPr>
          <w:i/>
        </w:rPr>
        <w:t>, but not a source of independent data points.</w:t>
      </w:r>
    </w:p>
    <w:p>
      <w:pPr>
        <w:pStyle w:val="Heading3"/>
      </w:pPr>
      <w:r>
        <w:rPr>
          <w:rFonts w:ascii="Times New Roman" w:hAnsi="Times New Roman"/>
          <w:color w:val="000000"/>
        </w:rPr>
        <w:t>5.3 LUT correction factors K1–K8</w:t>
      </w:r>
    </w:p>
    <w:p>
      <w:pPr>
        <w:jc w:val="both"/>
      </w:pPr>
      <w:r>
        <w:t>The mechanism by which the 8 mm-tube table is extended to real geometries. From the VVER</w:t>
      </w:r>
    </w:p>
    <w:p>
      <w:pPr>
        <w:jc w:val="both"/>
      </w:pPr>
      <w:r>
        <w:t xml:space="preserve">methodology paper (arXiv:2203.15048), citing IAEA-TECDOC-1203 and Groeneveld </w:t>
      </w:r>
      <w:r>
        <w:rPr>
          <w:b/>
        </w:rPr>
        <w:t>[V]</w:t>
      </w:r>
      <w:r>
        <w:t>:</w:t>
      </w:r>
    </w:p>
    <w:p>
      <w:pPr>
        <w:spacing w:line="240" w:lineRule="auto" w:after="200" w:before="120"/>
        <w:ind w:left="360"/>
      </w:pPr>
      <w:r>
        <w:rPr>
          <w:rFonts w:ascii="Consolas" w:hAnsi="Consolas"/>
          <w:sz w:val="18"/>
        </w:rPr>
        <w:t>CHF_bundle = K1 · K2 · K3 · K4 · K5 · K6 · K7 · K8 · CHF_table                (8)</w:t>
      </w:r>
    </w:p>
    <w:p>
      <w:pPr>
        <w:jc w:val="both"/>
      </w:pPr>
      <w:r>
        <w:t xml:space="preserve">The factors assume </w:t>
      </w:r>
      <w:r>
        <w:rPr>
          <w:b/>
        </w:rPr>
        <w:t>independence</w:t>
      </w:r>
      <w:r>
        <w:t>, which the source explicitly calls "a first-order</w:t>
      </w:r>
    </w:p>
    <w:p>
      <w:pPr>
        <w:jc w:val="both"/>
      </w:pPr>
      <w:r>
        <w:t>approximation."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p>
        </w:tc>
        <w:tc>
          <w:tcPr>
            <w:tcW w:type="dxa" w:w="2880"/>
          </w:tcPr>
          <w:p>
            <w:pPr>
              <w:spacing w:line="240" w:lineRule="auto" w:after="40"/>
            </w:pPr>
            <w:r>
              <w:rPr>
                <w:b/>
                <w:sz w:val="20"/>
              </w:rPr>
            </w:r>
            <w:r>
              <w:rPr>
                <w:b/>
                <w:sz w:val="20"/>
              </w:rPr>
              <w:t>Description</w:t>
            </w:r>
          </w:p>
        </w:tc>
        <w:tc>
          <w:tcPr>
            <w:tcW w:type="dxa" w:w="2880"/>
          </w:tcPr>
          <w:p>
            <w:pPr>
              <w:spacing w:line="240" w:lineRule="auto" w:after="40"/>
            </w:pPr>
            <w:r>
              <w:rPr>
                <w:b/>
                <w:sz w:val="20"/>
              </w:rPr>
            </w:r>
            <w:r>
              <w:rPr>
                <w:b/>
                <w:sz w:val="20"/>
              </w:rPr>
              <w:t>Formula</w:t>
            </w:r>
          </w:p>
        </w:tc>
      </w:tr>
      <w:tr>
        <w:tc>
          <w:tcPr>
            <w:tcW w:type="dxa" w:w="2880"/>
          </w:tcPr>
          <w:p>
            <w:pPr>
              <w:spacing w:line="240" w:lineRule="auto" w:after="40"/>
            </w:pPr>
            <w:r>
              <w:rPr>
                <w:sz w:val="20"/>
              </w:rPr>
            </w:r>
            <w:r>
              <w:rPr>
                <w:b/>
                <w:sz w:val="20"/>
              </w:rPr>
              <w:t>K1</w:t>
            </w:r>
          </w:p>
        </w:tc>
        <w:tc>
          <w:tcPr>
            <w:tcW w:type="dxa" w:w="2880"/>
          </w:tcPr>
          <w:p>
            <w:pPr>
              <w:spacing w:line="240" w:lineRule="auto" w:after="40"/>
            </w:pPr>
            <w:r>
              <w:rPr>
                <w:sz w:val="20"/>
              </w:rPr>
            </w:r>
            <w:r>
              <w:rPr>
                <w:sz w:val="20"/>
              </w:rPr>
              <w:t>Tube diameter</w:t>
            </w:r>
          </w:p>
        </w:tc>
        <w:tc>
          <w:tcPr>
            <w:tcW w:type="dxa" w:w="2880"/>
          </w:tcPr>
          <w:p>
            <w:pPr>
              <w:spacing w:line="240" w:lineRule="auto" w:after="40"/>
            </w:pPr>
            <w:r>
              <w:rPr>
                <w:sz w:val="20"/>
              </w:rPr>
            </w:r>
            <w:r>
              <w:rPr>
                <w:rFonts w:ascii="Consolas" w:hAnsi="Consolas"/>
                <w:sz w:val="20"/>
              </w:rPr>
              <w:t>K1 = (8/D_h)^n</w:t>
            </w:r>
            <w:r>
              <w:rPr>
                <w:sz w:val="20"/>
              </w:rPr>
              <w:t xml:space="preserve"> for 2 ≤ D_h ≤ 25 mm; </w:t>
            </w:r>
            <w:r>
              <w:rPr>
                <w:rFonts w:ascii="Consolas" w:hAnsi="Consolas"/>
                <w:sz w:val="20"/>
              </w:rPr>
              <w:t>= 0.57</w:t>
            </w:r>
            <w:r>
              <w:rPr>
                <w:sz w:val="20"/>
              </w:rPr>
              <w:t xml:space="preserve"> for D_h &gt; 25 mm  (9)</w:t>
            </w:r>
          </w:p>
        </w:tc>
      </w:tr>
      <w:tr>
        <w:tc>
          <w:tcPr>
            <w:tcW w:type="dxa" w:w="2880"/>
          </w:tcPr>
          <w:p>
            <w:pPr>
              <w:spacing w:line="240" w:lineRule="auto" w:after="40"/>
            </w:pPr>
            <w:r>
              <w:rPr>
                <w:sz w:val="20"/>
              </w:rPr>
            </w:r>
            <w:r>
              <w:rPr>
                <w:b/>
                <w:sz w:val="20"/>
              </w:rPr>
              <w:t>K2</w:t>
            </w:r>
          </w:p>
        </w:tc>
        <w:tc>
          <w:tcPr>
            <w:tcW w:type="dxa" w:w="2880"/>
          </w:tcPr>
          <w:p>
            <w:pPr>
              <w:spacing w:line="240" w:lineRule="auto" w:after="40"/>
            </w:pPr>
            <w:r>
              <w:rPr>
                <w:sz w:val="20"/>
              </w:rPr>
            </w:r>
            <w:r>
              <w:rPr>
                <w:sz w:val="20"/>
              </w:rPr>
              <w:t>Bundle geometry</w:t>
            </w:r>
          </w:p>
        </w:tc>
        <w:tc>
          <w:tcPr>
            <w:tcW w:type="dxa" w:w="2880"/>
          </w:tcPr>
          <w:p>
            <w:pPr>
              <w:spacing w:line="240" w:lineRule="auto" w:after="40"/>
            </w:pPr>
            <w:r>
              <w:rPr>
                <w:sz w:val="20"/>
              </w:rPr>
            </w:r>
            <w:r>
              <w:rPr>
                <w:sz w:val="20"/>
              </w:rPr>
              <w:t>`K2 = min[1, (0.5 + 2(s−d)/d)·exp(−0.5\</w:t>
            </w:r>
          </w:p>
        </w:tc>
      </w:tr>
      <w:tr>
        <w:tc>
          <w:tcPr>
            <w:tcW w:type="dxa" w:w="2880"/>
          </w:tcPr>
          <w:p>
            <w:pPr>
              <w:spacing w:line="240" w:lineRule="auto" w:after="40"/>
            </w:pPr>
            <w:r>
              <w:rPr>
                <w:sz w:val="20"/>
              </w:rPr>
            </w:r>
            <w:r>
              <w:rPr>
                <w:b/>
                <w:sz w:val="20"/>
              </w:rPr>
              <w:t>K3</w:t>
            </w:r>
          </w:p>
        </w:tc>
        <w:tc>
          <w:tcPr>
            <w:tcW w:type="dxa" w:w="2880"/>
          </w:tcPr>
          <w:p>
            <w:pPr>
              <w:spacing w:line="240" w:lineRule="auto" w:after="40"/>
            </w:pPr>
            <w:r>
              <w:rPr>
                <w:sz w:val="20"/>
              </w:rPr>
            </w:r>
            <w:r>
              <w:rPr>
                <w:sz w:val="20"/>
              </w:rPr>
              <w:t>Mid-plane spacer (CANDU)</w:t>
            </w:r>
          </w:p>
        </w:tc>
        <w:tc>
          <w:tcPr>
            <w:tcW w:type="dxa" w:w="2880"/>
          </w:tcPr>
          <w:p>
            <w:pPr>
              <w:spacing w:line="240" w:lineRule="auto" w:after="40"/>
            </w:pPr>
            <w:r>
              <w:rPr>
                <w:sz w:val="20"/>
              </w:rPr>
            </w:r>
            <w:r>
              <w:rPr>
                <w:rFonts w:ascii="Consolas" w:hAnsi="Consolas"/>
                <w:sz w:val="20"/>
              </w:rPr>
              <w:t>K3 = 1 + A exp(−0.1 L_s/D_h)</w:t>
            </w:r>
            <w:r>
              <w:rPr>
                <w:sz w:val="20"/>
              </w:rPr>
              <w:t xml:space="preserve">, </w:t>
            </w:r>
            <w:r>
              <w:rPr>
                <w:rFonts w:ascii="Consolas" w:hAnsi="Consolas"/>
                <w:sz w:val="20"/>
              </w:rPr>
              <w:t>A = 1.5 ξ^{0.5}(0.001G)^{0.2}</w:t>
            </w:r>
            <w:r>
              <w:rPr>
                <w:sz w:val="20"/>
              </w:rPr>
              <w:t xml:space="preserve">  (12,13)</w:t>
            </w:r>
          </w:p>
        </w:tc>
      </w:tr>
      <w:tr>
        <w:tc>
          <w:tcPr>
            <w:tcW w:type="dxa" w:w="2880"/>
          </w:tcPr>
          <w:p>
            <w:pPr>
              <w:spacing w:line="240" w:lineRule="auto" w:after="40"/>
            </w:pPr>
            <w:r>
              <w:rPr>
                <w:sz w:val="20"/>
              </w:rPr>
            </w:r>
            <w:r>
              <w:rPr>
                <w:b/>
                <w:sz w:val="20"/>
              </w:rPr>
              <w:t>K4</w:t>
            </w:r>
          </w:p>
        </w:tc>
        <w:tc>
          <w:tcPr>
            <w:tcW w:type="dxa" w:w="2880"/>
          </w:tcPr>
          <w:p>
            <w:pPr>
              <w:spacing w:line="240" w:lineRule="auto" w:after="40"/>
            </w:pPr>
            <w:r>
              <w:rPr>
                <w:sz w:val="20"/>
              </w:rPr>
            </w:r>
            <w:r>
              <w:rPr>
                <w:sz w:val="20"/>
              </w:rPr>
              <w:t>Heated length</w:t>
            </w:r>
          </w:p>
        </w:tc>
        <w:tc>
          <w:tcPr>
            <w:tcW w:type="dxa" w:w="2880"/>
          </w:tcPr>
          <w:p>
            <w:pPr>
              <w:spacing w:line="240" w:lineRule="auto" w:after="40"/>
            </w:pPr>
            <w:r>
              <w:rPr>
                <w:sz w:val="20"/>
              </w:rPr>
            </w:r>
            <w:r>
              <w:rPr>
                <w:rFonts w:ascii="Consolas" w:hAnsi="Consolas"/>
                <w:sz w:val="20"/>
              </w:rPr>
              <w:t>K4 = 1</w:t>
            </w:r>
            <w:r>
              <w:rPr>
                <w:sz w:val="20"/>
              </w:rPr>
              <w:t xml:space="preserve"> for L/D_h &lt; 5; </w:t>
            </w:r>
            <w:r>
              <w:rPr>
                <w:rFonts w:ascii="Consolas" w:hAnsi="Consolas"/>
                <w:sz w:val="20"/>
              </w:rPr>
              <w:t>= exp[e^{2α} L/D_h]</w:t>
            </w:r>
            <w:r>
              <w:rPr>
                <w:sz w:val="20"/>
              </w:rPr>
              <w:t xml:space="preserve"> for L/D_h ≥ 5, with </w:t>
            </w:r>
            <w:r>
              <w:rPr>
                <w:rFonts w:ascii="Consolas" w:hAnsi="Consolas"/>
                <w:sz w:val="20"/>
              </w:rPr>
              <w:t>α = xρ_f/(xρ_f + (1−x)ρ_g)</w:t>
            </w:r>
            <w:r>
              <w:rPr>
                <w:sz w:val="20"/>
              </w:rPr>
              <w:t xml:space="preserve">  (14,15)</w:t>
            </w:r>
          </w:p>
        </w:tc>
      </w:tr>
      <w:tr>
        <w:tc>
          <w:tcPr>
            <w:tcW w:type="dxa" w:w="2880"/>
          </w:tcPr>
          <w:p>
            <w:pPr>
              <w:spacing w:line="240" w:lineRule="auto" w:after="40"/>
            </w:pPr>
            <w:r>
              <w:rPr>
                <w:sz w:val="20"/>
              </w:rPr>
            </w:r>
            <w:r>
              <w:rPr>
                <w:b/>
                <w:sz w:val="20"/>
              </w:rPr>
              <w:t>K5</w:t>
            </w:r>
          </w:p>
        </w:tc>
        <w:tc>
          <w:tcPr>
            <w:tcW w:type="dxa" w:w="2880"/>
          </w:tcPr>
          <w:p>
            <w:pPr>
              <w:spacing w:line="240" w:lineRule="auto" w:after="40"/>
            </w:pPr>
            <w:r>
              <w:rPr>
                <w:sz w:val="20"/>
              </w:rPr>
            </w:r>
            <w:r>
              <w:rPr>
                <w:sz w:val="20"/>
              </w:rPr>
              <w:t>Axial flux distribution</w:t>
            </w:r>
          </w:p>
        </w:tc>
        <w:tc>
          <w:tcPr>
            <w:tcW w:type="dxa" w:w="2880"/>
          </w:tcPr>
          <w:p>
            <w:pPr>
              <w:spacing w:line="240" w:lineRule="auto" w:after="40"/>
            </w:pPr>
            <w:r>
              <w:rPr>
                <w:sz w:val="20"/>
              </w:rPr>
            </w:r>
            <w:r>
              <w:rPr>
                <w:rFonts w:ascii="Consolas" w:hAnsi="Consolas"/>
                <w:sz w:val="20"/>
              </w:rPr>
              <w:t>K5 = 1</w:t>
            </w:r>
            <w:r>
              <w:rPr>
                <w:sz w:val="20"/>
              </w:rPr>
              <w:t xml:space="preserve"> for x ≤ 0; </w:t>
            </w:r>
            <w:r>
              <w:rPr>
                <w:rFonts w:ascii="Consolas" w:hAnsi="Consolas"/>
                <w:sz w:val="20"/>
              </w:rPr>
              <w:t>= q_local/q_BLA</w:t>
            </w:r>
            <w:r>
              <w:rPr>
                <w:sz w:val="20"/>
              </w:rPr>
              <w:t xml:space="preserve"> for x &gt; 0, </w:t>
            </w:r>
            <w:r>
              <w:rPr>
                <w:rFonts w:ascii="Consolas" w:hAnsi="Consolas"/>
                <w:sz w:val="20"/>
              </w:rPr>
              <w:t>q_BLA = (1/L_B)∫q(z)dz</w:t>
            </w:r>
            <w:r>
              <w:rPr>
                <w:sz w:val="20"/>
              </w:rPr>
              <w:t xml:space="preserve"> over the boiling length  (16,17)</w:t>
            </w:r>
          </w:p>
        </w:tc>
      </w:tr>
      <w:tr>
        <w:tc>
          <w:tcPr>
            <w:tcW w:type="dxa" w:w="2880"/>
          </w:tcPr>
          <w:p>
            <w:pPr>
              <w:spacing w:line="240" w:lineRule="auto" w:after="40"/>
            </w:pPr>
            <w:r>
              <w:rPr>
                <w:sz w:val="20"/>
              </w:rPr>
            </w:r>
            <w:r>
              <w:rPr>
                <w:b/>
                <w:sz w:val="20"/>
              </w:rPr>
              <w:t>K6</w:t>
            </w:r>
          </w:p>
        </w:tc>
        <w:tc>
          <w:tcPr>
            <w:tcW w:type="dxa" w:w="2880"/>
          </w:tcPr>
          <w:p>
            <w:pPr>
              <w:spacing w:line="240" w:lineRule="auto" w:after="40"/>
            </w:pPr>
            <w:r>
              <w:rPr>
                <w:sz w:val="20"/>
              </w:rPr>
            </w:r>
            <w:r>
              <w:rPr>
                <w:sz w:val="20"/>
              </w:rPr>
              <w:t>Radial flux distribution</w:t>
            </w:r>
          </w:p>
        </w:tc>
        <w:tc>
          <w:tcPr>
            <w:tcW w:type="dxa" w:w="2880"/>
          </w:tcPr>
          <w:p>
            <w:pPr>
              <w:spacing w:line="240" w:lineRule="auto" w:after="40"/>
            </w:pPr>
            <w:r>
              <w:rPr>
                <w:sz w:val="20"/>
              </w:rPr>
            </w:r>
            <w:r>
              <w:rPr>
                <w:rFonts w:ascii="Consolas" w:hAnsi="Consolas"/>
                <w:sz w:val="20"/>
              </w:rPr>
              <w:t>K6 = 1</w:t>
            </w:r>
            <w:r>
              <w:rPr>
                <w:sz w:val="20"/>
              </w:rPr>
              <w:t xml:space="preserve"> for x ≤ 0; </w:t>
            </w:r>
            <w:r>
              <w:rPr>
                <w:rFonts w:ascii="Consolas" w:hAnsi="Consolas"/>
                <w:sz w:val="20"/>
              </w:rPr>
              <w:t>= q(z)_max/q(z)_av</w:t>
            </w:r>
            <w:r>
              <w:rPr>
                <w:sz w:val="20"/>
              </w:rPr>
              <w:t xml:space="preserve"> for x &gt; 0  (18)</w:t>
            </w:r>
          </w:p>
        </w:tc>
      </w:tr>
      <w:tr>
        <w:tc>
          <w:tcPr>
            <w:tcW w:type="dxa" w:w="2880"/>
          </w:tcPr>
          <w:p>
            <w:pPr>
              <w:spacing w:line="240" w:lineRule="auto" w:after="40"/>
            </w:pPr>
            <w:r>
              <w:rPr>
                <w:sz w:val="20"/>
              </w:rPr>
            </w:r>
            <w:r>
              <w:rPr>
                <w:b/>
                <w:sz w:val="20"/>
              </w:rPr>
              <w:t>K7</w:t>
            </w:r>
          </w:p>
        </w:tc>
        <w:tc>
          <w:tcPr>
            <w:tcW w:type="dxa" w:w="2880"/>
          </w:tcPr>
          <w:p>
            <w:pPr>
              <w:spacing w:line="240" w:lineRule="auto" w:after="40"/>
            </w:pPr>
            <w:r>
              <w:rPr>
                <w:sz w:val="20"/>
              </w:rPr>
            </w:r>
            <w:r>
              <w:rPr>
                <w:sz w:val="20"/>
              </w:rPr>
              <w:t>Flow orientation</w:t>
            </w:r>
          </w:p>
        </w:tc>
        <w:tc>
          <w:tcPr>
            <w:tcW w:type="dxa" w:w="2880"/>
          </w:tcPr>
          <w:p>
            <w:pPr>
              <w:spacing w:line="240" w:lineRule="auto" w:after="40"/>
            </w:pPr>
            <w:r>
              <w:rPr>
                <w:sz w:val="20"/>
              </w:rPr>
            </w:r>
            <w:r>
              <w:rPr>
                <w:rFonts w:ascii="Consolas" w:hAnsi="Consolas"/>
                <w:sz w:val="20"/>
              </w:rPr>
              <w:t>K7 = 1 − exp[−(A/3)^{0.5}]</w:t>
            </w:r>
            <w:r>
              <w:rPr>
                <w:sz w:val="20"/>
              </w:rPr>
              <w:t xml:space="preserve">, </w:t>
            </w:r>
            <w:r>
              <w:rPr>
                <w:rFonts w:ascii="Consolas" w:hAnsi="Consolas"/>
                <w:sz w:val="20"/>
              </w:rPr>
              <w:t>A = ((1−x)/(1−α))² fG²/(g D_h ρ_f(ρ_f−ρ_g)α^{0.5})</w:t>
            </w:r>
            <w:r>
              <w:rPr>
                <w:sz w:val="20"/>
              </w:rPr>
              <w:t xml:space="preserve">  (19,20)</w:t>
            </w:r>
          </w:p>
        </w:tc>
      </w:tr>
      <w:tr>
        <w:tc>
          <w:tcPr>
            <w:tcW w:type="dxa" w:w="2880"/>
          </w:tcPr>
          <w:p>
            <w:pPr>
              <w:spacing w:line="240" w:lineRule="auto" w:after="40"/>
            </w:pPr>
            <w:r>
              <w:rPr>
                <w:sz w:val="20"/>
              </w:rPr>
            </w:r>
            <w:r>
              <w:rPr>
                <w:b/>
                <w:sz w:val="20"/>
              </w:rPr>
              <w:t>K8</w:t>
            </w:r>
          </w:p>
        </w:tc>
        <w:tc>
          <w:tcPr>
            <w:tcW w:type="dxa" w:w="2880"/>
          </w:tcPr>
          <w:p>
            <w:pPr>
              <w:spacing w:line="240" w:lineRule="auto" w:after="40"/>
            </w:pPr>
            <w:r>
              <w:rPr>
                <w:sz w:val="20"/>
              </w:rPr>
            </w:r>
            <w:r>
              <w:rPr>
                <w:sz w:val="20"/>
              </w:rPr>
              <w:t>Vertical low flow</w:t>
            </w:r>
          </w:p>
        </w:tc>
        <w:tc>
          <w:tcPr>
            <w:tcW w:type="dxa" w:w="2880"/>
          </w:tcPr>
          <w:p>
            <w:pPr>
              <w:spacing w:line="240" w:lineRule="auto" w:after="40"/>
            </w:pPr>
            <w:r>
              <w:rPr>
                <w:sz w:val="20"/>
              </w:rPr>
            </w:r>
            <w:r>
              <w:rPr>
                <w:sz w:val="20"/>
              </w:rPr>
              <w:t>for −400 &lt; G &lt; 0: `K8·CHF_table = 2CHF_p − CHF(\</w:t>
            </w:r>
          </w:p>
        </w:tc>
      </w:tr>
    </w:tbl>
    <w:p/>
    <w:p>
      <w:pPr>
        <w:jc w:val="both"/>
      </w:pPr>
      <w:r>
        <w:t xml:space="preserve">Note </w:t>
      </w:r>
      <w:r>
        <w:rPr>
          <w:rFonts w:ascii="Consolas" w:hAnsi="Consolas"/>
          <w:sz w:val="21"/>
        </w:rPr>
        <w:t>K3 = 1</w:t>
      </w:r>
      <w:r>
        <w:t xml:space="preserve"> and </w:t>
      </w:r>
      <w:r>
        <w:rPr>
          <w:rFonts w:ascii="Consolas" w:hAnsi="Consolas"/>
          <w:sz w:val="21"/>
        </w:rPr>
        <w:t>K5 = K6 = 1</w:t>
      </w:r>
      <w:r>
        <w:t xml:space="preserve"> for subcooled conditions; </w:t>
      </w:r>
      <w:r>
        <w:rPr>
          <w:rFonts w:ascii="Consolas" w:hAnsi="Consolas"/>
          <w:sz w:val="21"/>
        </w:rPr>
        <w:t>K7 = 1</w:t>
      </w:r>
      <w:r>
        <w:t xml:space="preserve"> for horizontal flow;</w:t>
      </w:r>
    </w:p>
    <w:p>
      <w:pPr>
        <w:jc w:val="both"/>
      </w:pPr>
      <w:r>
        <w:rPr>
          <w:rFonts w:ascii="Consolas" w:hAnsi="Consolas"/>
          <w:sz w:val="21"/>
        </w:rPr>
        <w:t>K8 = 1</w:t>
      </w:r>
      <w:r>
        <w:t xml:space="preserve"> for upward flow. IAEA-TECDOC-1203 recommends using </w:t>
      </w:r>
      <w:r>
        <w:rPr>
          <w:b/>
        </w:rPr>
        <w:t>either K3 or K4</w:t>
      </w:r>
      <w:r>
        <w:t>, not both.</w:t>
      </w:r>
    </w:p>
    <w:p>
      <w:pPr>
        <w:jc w:val="both"/>
      </w:pPr>
      <w:r>
        <w:t>The source also warns **K2's formula is based on saturated qualities and has not been</w:t>
      </w:r>
    </w:p>
    <w:p>
      <w:pPr>
        <w:jc w:val="both"/>
      </w:pPr>
      <w:r>
        <w:t>tested for negative subcooled qualities.</w:t>
      </w:r>
      <w:r>
        <w:rPr>
          <w:b/>
        </w:rPr>
        <w:t xml:space="preserve"> </w:t>
      </w:r>
      <w:r>
        <w:t>[V]**</w:t>
      </w:r>
    </w:p>
    <w:p>
      <w:pPr>
        <w:jc w:val="both"/>
      </w:pPr>
      <w:r>
        <w:rPr>
          <w:b/>
        </w:rPr>
        <w:t>The diameter exponent `n` is contested</w:t>
      </w:r>
      <w:r>
        <w:t xml:space="preserve"> — the single most-studied correction:</w:t>
      </w:r>
    </w:p>
    <w:p>
      <w:pPr>
        <w:pStyle w:val="ListBullet"/>
        <w:spacing w:line="360" w:lineRule="auto"/>
      </w:pPr>
      <w:r>
        <w:t xml:space="preserve">Groeneveld originally: </w:t>
      </w:r>
      <w:r>
        <w:rPr>
          <w:rFonts w:ascii="Consolas" w:hAnsi="Consolas"/>
          <w:sz w:val="21"/>
        </w:rPr>
        <w:t>n = 0.5</w:t>
      </w:r>
      <w:r>
        <w:t xml:space="preserve"> (used to normalise the LUT itself).</w:t>
      </w:r>
    </w:p>
    <w:p>
      <w:pPr>
        <w:pStyle w:val="ListBullet"/>
        <w:spacing w:line="360" w:lineRule="auto"/>
      </w:pPr>
      <w:r>
        <w:t xml:space="preserve">Others: </w:t>
      </w:r>
      <w:r>
        <w:rPr>
          <w:rFonts w:ascii="Consolas" w:hAnsi="Consolas"/>
          <w:sz w:val="21"/>
        </w:rPr>
        <w:t>n = 1/3</w:t>
      </w:r>
      <w:r>
        <w:t>.</w:t>
      </w:r>
    </w:p>
    <w:p>
      <w:pPr>
        <w:pStyle w:val="ListBullet"/>
        <w:spacing w:line="360" w:lineRule="auto"/>
      </w:pPr>
      <w:r>
        <w:t xml:space="preserve">Biasi's correlation: </w:t>
      </w:r>
      <w:r>
        <w:rPr>
          <w:rFonts w:ascii="Consolas" w:hAnsi="Consolas"/>
          <w:sz w:val="21"/>
        </w:rPr>
        <w:t>0.4</w:t>
      </w:r>
      <w:r>
        <w:t xml:space="preserve"> for D &lt; 10 mm, </w:t>
      </w:r>
      <w:r>
        <w:rPr>
          <w:rFonts w:ascii="Consolas" w:hAnsi="Consolas"/>
          <w:sz w:val="21"/>
        </w:rPr>
        <w:t>0.6</w:t>
      </w:r>
      <w:r>
        <w:t xml:space="preserve"> otherwise.</w:t>
      </w:r>
    </w:p>
    <w:p>
      <w:pPr>
        <w:pStyle w:val="ListBullet"/>
        <w:spacing w:line="360" w:lineRule="auto"/>
      </w:pPr>
      <w:r>
        <w:t xml:space="preserve">Wong correlation (lowest RMS per Tanase et al.): </w:t>
      </w:r>
      <w:r>
        <w:rPr>
          <w:rFonts w:ascii="Consolas" w:hAnsi="Consolas"/>
          <w:sz w:val="21"/>
        </w:rPr>
        <w:t>n = 0.58[1 − 0.25exp(−2x)](1 − 15D_h^{−6}G)</w:t>
      </w:r>
      <w:r>
        <w:t xml:space="preserve"> </w:t>
      </w:r>
      <w:r>
        <w:rPr>
          <w:b/>
        </w:rPr>
        <w:t>[V]</w:t>
      </w:r>
    </w:p>
    <w:p>
      <w:pPr>
        <w:pStyle w:val="ListBullet"/>
        <w:spacing w:line="360" w:lineRule="auto"/>
      </w:pPr>
      <w:r>
        <w:t xml:space="preserve">Tanase et al. (2009) tabulate </w:t>
      </w:r>
      <w:r>
        <w:rPr>
          <w:rFonts w:ascii="Consolas" w:hAnsi="Consolas"/>
          <w:sz w:val="21"/>
        </w:rPr>
        <w:t>n</w:t>
      </w:r>
      <w:r>
        <w:t xml:space="preserve"> by (P, G, x) region — including </w:t>
      </w:r>
      <w:r>
        <w:rPr>
          <w:b/>
        </w:rPr>
        <w:t>negative values</w:t>
      </w:r>
    </w:p>
    <w:p>
      <w:pPr>
        <w:jc w:val="both"/>
      </w:pPr>
      <w:r>
        <w:t>(</w:t>
      </w:r>
      <w:r>
        <w:rPr>
          <w:rFonts w:ascii="Consolas" w:hAnsi="Consolas"/>
          <w:sz w:val="21"/>
        </w:rPr>
        <w:t>n = −0.2</w:t>
      </w:r>
      <w:r>
        <w:t xml:space="preserve"> to </w:t>
      </w:r>
      <w:r>
        <w:rPr>
          <w:rFonts w:ascii="Consolas" w:hAnsi="Consolas"/>
          <w:sz w:val="21"/>
        </w:rPr>
        <w:t>−0.3</w:t>
      </w:r>
      <w:r>
        <w:t xml:space="preserve">) at low mass flux, meaning the diameter trend *reverses*. </w:t>
      </w:r>
      <w:r>
        <w:rPr>
          <w:b/>
        </w:rPr>
        <w:t>[V]</w:t>
      </w:r>
    </w:p>
    <w:p>
      <w:pPr>
        <w:jc w:val="both"/>
      </w:pPr>
      <w:r>
        <w:rPr>
          <w:b/>
        </w:rPr>
        <w:t>Tanase et al. Table 3 — `n` by regime [V]:</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40"/>
            </w:pPr>
            <w:r>
              <w:rPr>
                <w:b/>
                <w:sz w:val="20"/>
              </w:rPr>
            </w:r>
            <w:r>
              <w:rPr>
                <w:b/>
                <w:sz w:val="20"/>
              </w:rPr>
              <w:t>P (kPa)</w:t>
            </w:r>
          </w:p>
        </w:tc>
        <w:tc>
          <w:tcPr>
            <w:tcW w:type="dxa" w:w="1440"/>
          </w:tcPr>
          <w:p>
            <w:pPr>
              <w:spacing w:line="240" w:lineRule="auto" w:after="40"/>
            </w:pPr>
            <w:r>
              <w:rPr>
                <w:b/>
                <w:sz w:val="20"/>
              </w:rPr>
            </w:r>
            <w:r>
              <w:rPr>
                <w:b/>
                <w:sz w:val="20"/>
              </w:rPr>
              <w:t>G (kg m⁻²s⁻¹)</w:t>
            </w:r>
          </w:p>
        </w:tc>
        <w:tc>
          <w:tcPr>
            <w:tcW w:type="dxa" w:w="1440"/>
          </w:tcPr>
          <w:p>
            <w:pPr>
              <w:spacing w:line="240" w:lineRule="auto" w:after="40"/>
            </w:pPr>
            <w:r>
              <w:rPr>
                <w:b/>
                <w:sz w:val="20"/>
              </w:rPr>
            </w:r>
            <w:r>
              <w:rPr>
                <w:b/>
                <w:sz w:val="20"/>
              </w:rPr>
              <w:t>x: −0.5..−0.25</w:t>
            </w:r>
          </w:p>
        </w:tc>
        <w:tc>
          <w:tcPr>
            <w:tcW w:type="dxa" w:w="1440"/>
          </w:tcPr>
          <w:p>
            <w:pPr>
              <w:spacing w:line="240" w:lineRule="auto" w:after="40"/>
            </w:pPr>
            <w:r>
              <w:rPr>
                <w:b/>
                <w:sz w:val="20"/>
              </w:rPr>
            </w:r>
            <w:r>
              <w:rPr>
                <w:b/>
                <w:sz w:val="20"/>
              </w:rPr>
              <w:t>−0.25..0</w:t>
            </w:r>
          </w:p>
        </w:tc>
        <w:tc>
          <w:tcPr>
            <w:tcW w:type="dxa" w:w="1440"/>
          </w:tcPr>
          <w:p>
            <w:pPr>
              <w:spacing w:line="240" w:lineRule="auto" w:after="40"/>
            </w:pPr>
            <w:r>
              <w:rPr>
                <w:b/>
                <w:sz w:val="20"/>
              </w:rPr>
            </w:r>
            <w:r>
              <w:rPr>
                <w:b/>
                <w:sz w:val="20"/>
              </w:rPr>
              <w:t>0..0.5</w:t>
            </w:r>
          </w:p>
        </w:tc>
        <w:tc>
          <w:tcPr>
            <w:tcW w:type="dxa" w:w="1440"/>
          </w:tcPr>
          <w:p>
            <w:pPr>
              <w:spacing w:line="240" w:lineRule="auto" w:after="40"/>
            </w:pPr>
            <w:r>
              <w:rPr>
                <w:b/>
                <w:sz w:val="20"/>
              </w:rPr>
            </w:r>
            <w:r>
              <w:rPr>
                <w:b/>
                <w:sz w:val="20"/>
              </w:rPr>
              <w:t>0.5..1</w:t>
            </w:r>
          </w:p>
        </w:tc>
      </w:tr>
      <w:tr>
        <w:tc>
          <w:tcPr>
            <w:tcW w:type="dxa" w:w="1440"/>
          </w:tcPr>
          <w:p>
            <w:pPr>
              <w:spacing w:line="240" w:lineRule="auto" w:after="40"/>
            </w:pPr>
            <w:r>
              <w:rPr>
                <w:sz w:val="20"/>
              </w:rPr>
            </w:r>
            <w:r>
              <w:rPr>
                <w:sz w:val="20"/>
              </w:rPr>
              <w:t>100–14000</w:t>
            </w:r>
          </w:p>
        </w:tc>
        <w:tc>
          <w:tcPr>
            <w:tcW w:type="dxa" w:w="1440"/>
          </w:tcPr>
          <w:p>
            <w:pPr>
              <w:spacing w:line="240" w:lineRule="auto" w:after="40"/>
            </w:pPr>
            <w:r>
              <w:rPr>
                <w:sz w:val="20"/>
              </w:rPr>
            </w:r>
            <w:r>
              <w:rPr>
                <w:sz w:val="20"/>
              </w:rPr>
              <w:t>0–250</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−0.3</w:t>
            </w:r>
          </w:p>
        </w:tc>
      </w:tr>
      <w:tr>
        <w:tc>
          <w:tcPr>
            <w:tcW w:type="dxa" w:w="1440"/>
          </w:tcPr>
          <w:p>
            <w:pPr>
              <w:spacing w:line="240" w:lineRule="auto" w:after="40"/>
            </w:pPr>
            <w:r>
              <w:rPr>
                <w:sz w:val="20"/>
              </w:rPr>
            </w:r>
          </w:p>
        </w:tc>
        <w:tc>
          <w:tcPr>
            <w:tcW w:type="dxa" w:w="1440"/>
          </w:tcPr>
          <w:p>
            <w:pPr>
              <w:spacing w:line="240" w:lineRule="auto" w:after="40"/>
            </w:pPr>
            <w:r>
              <w:rPr>
                <w:sz w:val="20"/>
              </w:rPr>
            </w:r>
            <w:r>
              <w:rPr>
                <w:sz w:val="20"/>
              </w:rPr>
              <w:t>250–3000</w:t>
            </w:r>
          </w:p>
        </w:tc>
        <w:tc>
          <w:tcPr>
            <w:tcW w:type="dxa" w:w="1440"/>
          </w:tcPr>
          <w:p>
            <w:pPr>
              <w:spacing w:line="240" w:lineRule="auto" w:after="40"/>
            </w:pPr>
            <w:r>
              <w:rPr>
                <w:sz w:val="20"/>
              </w:rPr>
            </w:r>
            <w:r>
              <w:rPr>
                <w:sz w:val="20"/>
              </w:rPr>
              <w:t>0.4</w:t>
            </w:r>
          </w:p>
        </w:tc>
        <w:tc>
          <w:tcPr>
            <w:tcW w:type="dxa" w:w="1440"/>
          </w:tcPr>
          <w:p>
            <w:pPr>
              <w:spacing w:line="240" w:lineRule="auto" w:after="40"/>
            </w:pPr>
            <w:r>
              <w:rPr>
                <w:sz w:val="20"/>
              </w:rPr>
            </w:r>
            <w:r>
              <w:rPr>
                <w:sz w:val="20"/>
              </w:rPr>
              <w:t>0.4</w:t>
            </w:r>
          </w:p>
        </w:tc>
        <w:tc>
          <w:tcPr>
            <w:tcW w:type="dxa" w:w="1440"/>
          </w:tcPr>
          <w:p>
            <w:pPr>
              <w:spacing w:line="240" w:lineRule="auto" w:after="40"/>
            </w:pPr>
            <w:r>
              <w:rPr>
                <w:sz w:val="20"/>
              </w:rPr>
            </w:r>
            <w:r>
              <w:rPr>
                <w:sz w:val="20"/>
              </w:rPr>
              <w:t>0.5</w:t>
            </w:r>
          </w:p>
        </w:tc>
        <w:tc>
          <w:tcPr>
            <w:tcW w:type="dxa" w:w="1440"/>
          </w:tcPr>
          <w:p>
            <w:pPr>
              <w:spacing w:line="240" w:lineRule="auto" w:after="40"/>
            </w:pPr>
            <w:r>
              <w:rPr>
                <w:sz w:val="20"/>
              </w:rPr>
            </w:r>
            <w:r>
              <w:rPr>
                <w:sz w:val="20"/>
              </w:rPr>
              <w:t>0.6</w:t>
            </w:r>
          </w:p>
        </w:tc>
      </w:tr>
      <w:tr>
        <w:tc>
          <w:tcPr>
            <w:tcW w:type="dxa" w:w="1440"/>
          </w:tcPr>
          <w:p>
            <w:pPr>
              <w:spacing w:line="240" w:lineRule="auto" w:after="40"/>
            </w:pPr>
            <w:r>
              <w:rPr>
                <w:sz w:val="20"/>
              </w:rPr>
            </w:r>
          </w:p>
        </w:tc>
        <w:tc>
          <w:tcPr>
            <w:tcW w:type="dxa" w:w="1440"/>
          </w:tcPr>
          <w:p>
            <w:pPr>
              <w:spacing w:line="240" w:lineRule="auto" w:after="40"/>
            </w:pPr>
            <w:r>
              <w:rPr>
                <w:sz w:val="20"/>
              </w:rPr>
            </w:r>
            <w:r>
              <w:rPr>
                <w:sz w:val="20"/>
              </w:rPr>
              <w:t>3000–8000</w:t>
            </w:r>
          </w:p>
        </w:tc>
        <w:tc>
          <w:tcPr>
            <w:tcW w:type="dxa" w:w="1440"/>
          </w:tcPr>
          <w:p>
            <w:pPr>
              <w:spacing w:line="240" w:lineRule="auto" w:after="40"/>
            </w:pPr>
            <w:r>
              <w:rPr>
                <w:sz w:val="20"/>
              </w:rPr>
            </w:r>
            <w:r>
              <w:rPr>
                <w:sz w:val="20"/>
              </w:rPr>
              <w:t>0.3</w:t>
            </w:r>
          </w:p>
        </w:tc>
        <w:tc>
          <w:tcPr>
            <w:tcW w:type="dxa" w:w="1440"/>
          </w:tcPr>
          <w:p>
            <w:pPr>
              <w:spacing w:line="240" w:lineRule="auto" w:after="40"/>
            </w:pPr>
            <w:r>
              <w:rPr>
                <w:sz w:val="20"/>
              </w:rPr>
            </w:r>
            <w:r>
              <w:rPr>
                <w:sz w:val="20"/>
              </w:rPr>
              <w:t>0.3</w:t>
            </w:r>
          </w:p>
        </w:tc>
        <w:tc>
          <w:tcPr>
            <w:tcW w:type="dxa" w:w="1440"/>
          </w:tcPr>
          <w:p>
            <w:pPr>
              <w:spacing w:line="240" w:lineRule="auto" w:after="40"/>
            </w:pPr>
            <w:r>
              <w:rPr>
                <w:sz w:val="20"/>
              </w:rPr>
            </w:r>
            <w:r>
              <w:rPr>
                <w:sz w:val="20"/>
              </w:rPr>
              <w:t>0.4</w:t>
            </w:r>
          </w:p>
        </w:tc>
        <w:tc>
          <w:tcPr>
            <w:tcW w:type="dxa" w:w="1440"/>
          </w:tcPr>
          <w:p>
            <w:pPr>
              <w:spacing w:line="240" w:lineRule="auto" w:after="40"/>
            </w:pPr>
            <w:r>
              <w:rPr>
                <w:sz w:val="20"/>
              </w:rPr>
            </w:r>
            <w:r>
              <w:rPr>
                <w:sz w:val="20"/>
              </w:rPr>
              <w:t>0.4</w:t>
            </w:r>
          </w:p>
        </w:tc>
      </w:tr>
      <w:tr>
        <w:tc>
          <w:tcPr>
            <w:tcW w:type="dxa" w:w="1440"/>
          </w:tcPr>
          <w:p>
            <w:pPr>
              <w:spacing w:line="240" w:lineRule="auto" w:after="40"/>
            </w:pPr>
            <w:r>
              <w:rPr>
                <w:sz w:val="20"/>
              </w:rPr>
            </w:r>
            <w:r>
              <w:rPr>
                <w:sz w:val="20"/>
              </w:rPr>
              <w:t>14000–21000</w:t>
            </w:r>
          </w:p>
        </w:tc>
        <w:tc>
          <w:tcPr>
            <w:tcW w:type="dxa" w:w="1440"/>
          </w:tcPr>
          <w:p>
            <w:pPr>
              <w:spacing w:line="240" w:lineRule="auto" w:after="40"/>
            </w:pPr>
            <w:r>
              <w:rPr>
                <w:sz w:val="20"/>
              </w:rPr>
            </w:r>
            <w:r>
              <w:rPr>
                <w:sz w:val="20"/>
              </w:rPr>
              <w:t>0–250</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−0.3</w:t>
            </w:r>
          </w:p>
        </w:tc>
      </w:tr>
      <w:tr>
        <w:tc>
          <w:tcPr>
            <w:tcW w:type="dxa" w:w="1440"/>
          </w:tcPr>
          <w:p>
            <w:pPr>
              <w:spacing w:line="240" w:lineRule="auto" w:after="40"/>
            </w:pPr>
            <w:r>
              <w:rPr>
                <w:sz w:val="20"/>
              </w:rPr>
            </w:r>
          </w:p>
        </w:tc>
        <w:tc>
          <w:tcPr>
            <w:tcW w:type="dxa" w:w="1440"/>
          </w:tcPr>
          <w:p>
            <w:pPr>
              <w:spacing w:line="240" w:lineRule="auto" w:after="40"/>
            </w:pPr>
            <w:r>
              <w:rPr>
                <w:sz w:val="20"/>
              </w:rPr>
            </w:r>
            <w:r>
              <w:rPr>
                <w:sz w:val="20"/>
              </w:rPr>
              <w:t>250–3000</w:t>
            </w:r>
          </w:p>
        </w:tc>
        <w:tc>
          <w:tcPr>
            <w:tcW w:type="dxa" w:w="1440"/>
          </w:tcPr>
          <w:p>
            <w:pPr>
              <w:spacing w:line="240" w:lineRule="auto" w:after="40"/>
            </w:pPr>
            <w:r>
              <w:rPr>
                <w:sz w:val="20"/>
              </w:rPr>
            </w:r>
            <w:r>
              <w:rPr>
                <w:sz w:val="20"/>
              </w:rPr>
              <w:t>0.4</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0.4</w:t>
            </w:r>
          </w:p>
        </w:tc>
        <w:tc>
          <w:tcPr>
            <w:tcW w:type="dxa" w:w="1440"/>
          </w:tcPr>
          <w:p>
            <w:pPr>
              <w:spacing w:line="240" w:lineRule="auto" w:after="40"/>
            </w:pPr>
            <w:r>
              <w:rPr>
                <w:sz w:val="20"/>
              </w:rPr>
            </w:r>
            <w:r>
              <w:rPr>
                <w:sz w:val="20"/>
              </w:rPr>
              <w:t>0.4</w:t>
            </w:r>
          </w:p>
        </w:tc>
      </w:tr>
      <w:tr>
        <w:tc>
          <w:tcPr>
            <w:tcW w:type="dxa" w:w="1440"/>
          </w:tcPr>
          <w:p>
            <w:pPr>
              <w:spacing w:line="240" w:lineRule="auto" w:after="40"/>
            </w:pPr>
            <w:r>
              <w:rPr>
                <w:sz w:val="20"/>
              </w:rPr>
            </w:r>
          </w:p>
        </w:tc>
        <w:tc>
          <w:tcPr>
            <w:tcW w:type="dxa" w:w="1440"/>
          </w:tcPr>
          <w:p>
            <w:pPr>
              <w:spacing w:line="240" w:lineRule="auto" w:after="40"/>
            </w:pPr>
            <w:r>
              <w:rPr>
                <w:sz w:val="20"/>
              </w:rPr>
            </w:r>
            <w:r>
              <w:rPr>
                <w:sz w:val="20"/>
              </w:rPr>
              <w:t>3000–8000</w:t>
            </w:r>
          </w:p>
        </w:tc>
        <w:tc>
          <w:tcPr>
            <w:tcW w:type="dxa" w:w="1440"/>
          </w:tcPr>
          <w:p>
            <w:pPr>
              <w:spacing w:line="240" w:lineRule="auto" w:after="40"/>
            </w:pPr>
            <w:r>
              <w:rPr>
                <w:sz w:val="20"/>
              </w:rPr>
            </w:r>
            <w:r>
              <w:rPr>
                <w:sz w:val="20"/>
              </w:rPr>
              <w:t>0.3</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0.2</w:t>
            </w:r>
          </w:p>
        </w:tc>
        <w:tc>
          <w:tcPr>
            <w:tcW w:type="dxa" w:w="1440"/>
          </w:tcPr>
          <w:p>
            <w:pPr>
              <w:spacing w:line="240" w:lineRule="auto" w:after="40"/>
            </w:pPr>
            <w:r>
              <w:rPr>
                <w:sz w:val="20"/>
              </w:rPr>
            </w:r>
            <w:r>
              <w:rPr>
                <w:sz w:val="20"/>
              </w:rPr>
              <w:t>0.2</w:t>
            </w:r>
          </w:p>
        </w:tc>
      </w:tr>
    </w:tbl>
    <w:p/>
    <w:p>
      <w:pPr>
        <w:jc w:val="both"/>
      </w:pPr>
      <w:r>
        <w:t xml:space="preserve">Boltenko's physical explanation </w:t>
      </w:r>
      <w:r>
        <w:rPr>
          <w:b/>
        </w:rPr>
        <w:t>[V]</w:t>
      </w:r>
      <w:r>
        <w:t>: at low quality (</w:t>
      </w:r>
      <w:r>
        <w:rPr>
          <w:rFonts w:ascii="Consolas" w:hAnsi="Consolas"/>
          <w:sz w:val="21"/>
        </w:rPr>
        <w:t>x &lt; 0.2</w:t>
      </w:r>
      <w:r>
        <w:t xml:space="preserve">) CHF </w:t>
      </w:r>
      <w:r>
        <w:rPr>
          <w:b/>
        </w:rPr>
        <w:t>increases</w:t>
      </w:r>
      <w:r>
        <w:t xml:space="preserve"> with</w:t>
      </w:r>
    </w:p>
    <w:p>
      <w:pPr>
        <w:jc w:val="both"/>
      </w:pPr>
      <w:r>
        <w:t xml:space="preserve">tube ID; at high quality the trend </w:t>
      </w:r>
      <w:r>
        <w:rPr>
          <w:b/>
        </w:rPr>
        <w:t>reverses</w:t>
      </w:r>
      <w:r>
        <w:t>. Tanase's sensitivity study found constant</w:t>
      </w:r>
    </w:p>
    <w:p>
      <w:pPr>
        <w:jc w:val="both"/>
      </w:pPr>
      <w:r>
        <w:rPr>
          <w:rFonts w:ascii="Consolas" w:hAnsi="Consolas"/>
          <w:sz w:val="21"/>
        </w:rPr>
        <w:t>n = 0.4–0.5</w:t>
      </w:r>
      <w:r>
        <w:t xml:space="preserve"> predicts the whole LUT range satisfactorily (RMS 7.1–7.3% for HBM).</w:t>
      </w:r>
    </w:p>
    <w:p>
      <w:pPr>
        <w:ind w:left="480" w:right="480"/>
      </w:pPr>
      <w:r>
        <w:rPr>
          <w:b/>
          <w:i/>
        </w:rPr>
        <w:t>Directly usable.</w:t>
      </w:r>
      <w:r>
        <w:rPr>
          <w:i/>
        </w:rPr>
        <w:t xml:space="preserve"> This table is a ready-made, physics-derived, regime-dependent feature transform. Rather than letting a model learn the diameter effect from scratch — which it demonstrably cannot do across held-out geometries — we can normalise every row to 8 mm using </w:t>
      </w:r>
      <w:r>
        <w:rPr>
          <w:rFonts w:ascii="Consolas" w:hAnsi="Consolas"/>
          <w:i/>
          <w:sz w:val="21"/>
        </w:rPr>
        <w:t>K1</w:t>
      </w:r>
      <w:r>
        <w:rPr>
          <w:i/>
        </w:rPr>
        <w:t xml:space="preserve"> with a regime-appropriate </w:t>
      </w:r>
      <w:r>
        <w:rPr>
          <w:rFonts w:ascii="Consolas" w:hAnsi="Consolas"/>
          <w:i/>
          <w:sz w:val="21"/>
        </w:rPr>
        <w:t>n</w:t>
      </w:r>
      <w:r>
        <w:rPr>
          <w:i/>
        </w:rPr>
        <w:t>, and let the model learn only the residual. This is the same "divide by a physics baseline first" trick that already rescued strategy 3, applied to geometry instead of fluid.</w:t>
      </w:r>
    </w:p>
    <w:p>
      <w:pPr>
        <w:pStyle w:val="Heading3"/>
      </w:pPr>
      <w:r>
        <w:rPr>
          <w:rFonts w:ascii="Times New Roman" w:hAnsi="Times New Roman"/>
          <w:color w:val="000000"/>
        </w:rPr>
        <w:t>5.4 Biasi et al. (1967)</w:t>
      </w:r>
    </w:p>
    <w:p>
      <w:pPr>
        <w:jc w:val="both"/>
      </w:pPr>
      <w:r>
        <w:t xml:space="preserve">As implemented in </w:t>
      </w:r>
      <w:r>
        <w:rPr>
          <w:rFonts w:ascii="Consolas" w:hAnsi="Consolas"/>
          <w:sz w:val="21"/>
        </w:rPr>
        <w:t>scripts/chf_physics.py</w:t>
      </w:r>
      <w:r>
        <w:t xml:space="preserve"> (citing Todreas &amp; Kazimi, *Nuclear Systems I*).</w:t>
      </w:r>
    </w:p>
    <w:p>
      <w:pPr>
        <w:jc w:val="both"/>
      </w:pPr>
      <w:r>
        <w:t xml:space="preserve">Units: D in cm, G in g cm⁻² s⁻¹, P in atm, output kW/m². </w:t>
      </w:r>
      <w:r>
        <w:rPr>
          <w:b/>
        </w:rPr>
        <w:t>[V]</w:t>
      </w:r>
      <w:r>
        <w:t xml:space="preserve"> (as implemented)</w:t>
      </w:r>
    </w:p>
    <w:p>
      <w:pPr>
        <w:spacing w:line="240" w:lineRule="auto" w:after="200" w:before="120"/>
        <w:ind w:left="360"/>
      </w:pPr>
      <w:r>
        <w:rPr>
          <w:rFonts w:ascii="Consolas" w:hAnsi="Consolas"/>
          <w:sz w:val="18"/>
        </w:rPr>
        <w:t>q_low  = (1.883e4 / (D^α G^(1/6))) · (A/G^(1/6) − x)</w:t>
        <w:br/>
        <w:t>q_high = (3.78e4 · B / (D^α G^0.6)) · (1 − x)</w:t>
        <w:br/>
        <w:t>CHF    = max(q_low, q_high)</w:t>
        <w:br/>
        <w:br/>
        <w:t>α = 0.6 for D &lt; 1 cm, else 0.4</w:t>
        <w:br/>
        <w:t>A = 0.7249 + 0.099 P exp(−0.032 P)</w:t>
        <w:br/>
        <w:t>B = −1.159 + 0.149 P exp(−0.019 P) + 8.99P/(10 + P²)</w:t>
      </w:r>
    </w:p>
    <w:p>
      <w:pPr>
        <w:jc w:val="both"/>
      </w:pPr>
      <w:r>
        <w:rPr>
          <w:b/>
        </w:rPr>
        <w:t>Structural note for modelling:</w:t>
      </w:r>
      <w:r>
        <w:t xml:space="preserve"> the </w:t>
      </w:r>
      <w:r>
        <w:rPr>
          <w:rFonts w:ascii="Consolas" w:hAnsi="Consolas"/>
          <w:sz w:val="21"/>
        </w:rPr>
        <w:t>G^(1/6)</w:t>
      </w:r>
      <w:r>
        <w:t xml:space="preserve"> terms in the denominator **diverge as</w:t>
      </w:r>
    </w:p>
    <w:p>
      <w:pPr>
        <w:jc w:val="both"/>
      </w:pPr>
      <w:r>
        <w:t xml:space="preserve">G → 0**, which is why the repo's </w:t>
      </w:r>
      <w:r>
        <w:rPr>
          <w:rFonts w:ascii="Consolas" w:hAnsi="Consolas"/>
          <w:sz w:val="21"/>
        </w:rPr>
        <w:t>hybrid_reference_chf</w:t>
      </w:r>
      <w:r>
        <w:t xml:space="preserve"> dispatches to Zuber at G = 0.</w:t>
      </w:r>
    </w:p>
    <w:p>
      <w:pPr>
        <w:jc w:val="both"/>
      </w:pPr>
      <w:r>
        <w:t>That is a correctness requirement, not a nicety — and it is a concrete example of why a</w:t>
      </w:r>
    </w:p>
    <w:p>
      <w:pPr>
        <w:jc w:val="both"/>
      </w:pPr>
      <w:r>
        <w:t>naive "just use a correlation as a prior" approach breaks at regime boundaries.</w:t>
      </w:r>
    </w:p>
    <w:p>
      <w:pPr>
        <w:pStyle w:val="Heading3"/>
      </w:pPr>
      <w:r>
        <w:rPr>
          <w:rFonts w:ascii="Times New Roman" w:hAnsi="Times New Roman"/>
          <w:color w:val="000000"/>
        </w:rPr>
        <w:t>5.5 Katto &amp; Ohno (1984) generalised correlation</w:t>
      </w:r>
    </w:p>
    <w:p>
      <w:pPr>
        <w:jc w:val="both"/>
      </w:pPr>
      <w:r>
        <w:t>The most physically-grounded widely-used flow-boiling correlation; derived by *vectorial</w:t>
      </w:r>
    </w:p>
    <w:p>
      <w:pPr>
        <w:jc w:val="both"/>
      </w:pPr>
      <w:r>
        <w:t>dimensional analysis* postulating hydrodynamic control, yielding four regimes (L, H, N,</w:t>
      </w:r>
    </w:p>
    <w:p>
      <w:pPr>
        <w:jc w:val="both"/>
      </w:pPr>
      <w:r>
        <w:t>HP). Recommended by the NASA cryogenic study as the best performer for LH₂ flow boiling</w:t>
      </w:r>
    </w:p>
    <w:p>
      <w:pPr>
        <w:jc w:val="both"/>
      </w:pPr>
      <w:r>
        <w:t xml:space="preserve">(91 points, within a factor of 2 more than 90% of the time). </w:t>
      </w:r>
      <w:r>
        <w:rPr>
          <w:b/>
        </w:rPr>
        <w:t>[V]</w:t>
      </w:r>
      <w:r>
        <w:t xml:space="preserve"> (transcribed from</w:t>
      </w:r>
    </w:p>
    <w:p>
      <w:pPr>
        <w:jc w:val="both"/>
      </w:pPr>
      <w:r>
        <w:t>NASA NTRS 20230009827)</w:t>
      </w:r>
    </w:p>
    <w:p>
      <w:pPr>
        <w:jc w:val="both"/>
      </w:pPr>
      <w:r>
        <w:t>Master form, with inlet subcooling:</w:t>
      </w:r>
    </w:p>
    <w:p>
      <w:pPr>
        <w:spacing w:line="240" w:lineRule="auto" w:after="200" w:before="120"/>
        <w:ind w:left="360"/>
      </w:pPr>
      <w:r>
        <w:rPr>
          <w:rFonts w:ascii="Consolas" w:hAnsi="Consolas"/>
          <w:sz w:val="18"/>
        </w:rPr>
        <w:t>q″_CHF = q″_co [ 1 + K(h_f,sat − h_f)/h_fg ]                               (8)</w:t>
      </w:r>
    </w:p>
    <w:p>
      <w:pPr>
        <w:jc w:val="both"/>
      </w:pPr>
      <w:r>
        <w:t>Sub-correlations (</w:t>
      </w:r>
      <w:r>
        <w:rPr>
          <w:rFonts w:ascii="Consolas" w:hAnsi="Consolas"/>
          <w:sz w:val="21"/>
        </w:rPr>
        <w:t>We⁻¹ ≡ σρ_f/(G²L)</w:t>
      </w:r>
      <w:r>
        <w:t>):</w:t>
      </w:r>
    </w:p>
    <w:p>
      <w:pPr>
        <w:spacing w:line="240" w:lineRule="auto" w:after="200" w:before="120"/>
        <w:ind w:left="360"/>
      </w:pPr>
      <w:r>
        <w:rPr>
          <w:rFonts w:ascii="Consolas" w:hAnsi="Consolas"/>
          <w:sz w:val="18"/>
        </w:rPr>
        <w:t>q″_co,2  = C_Kc (σρ_f/(G²L))^{0.043} (D_H/L) G h_fg                        (9)   [S: C_Kc]</w:t>
        <w:br/>
        <w:br/>
        <w:t>q″_co,3  = 0.1 (ρ_g/ρ_f)^{0.133} (σρ_f/(G²L))^{0.333} · G h_fg / (1 + 0.0031 L/D_H)   (10)</w:t>
        <w:br/>
        <w:br/>
        <w:t>q″_co,4  = 0.098 (ρ_g/ρ_f)^{0.133} (σρ_f/(G²L))^{0.433} (L/D_H)^{0.27} · G h_fg / (1 + 0.0031 L/D_H)   (11)</w:t>
        <w:br/>
        <w:br/>
        <w:t>q″_co,5  = 0.0384 (ρ_g/ρ_f)^{0.6} (σρ_f/(G²L))^{0.173} · G h_fg / (1 + 0.28(σρ_f/(G²L))^{0.233} L/D_H)  (12)</w:t>
        <w:br/>
        <w:br/>
        <w:t>q″_co,13 = 0.234 (ρ_g/ρ_f)^{0.513} (σρ_f/(G²L))^{0.433} (L/D_H)^{0.27} · G h_fg / (1 + 0.0031 L/D_H)   (13)</w:t>
      </w:r>
    </w:p>
    <w:p>
      <w:pPr>
        <w:jc w:val="both"/>
      </w:pPr>
      <w:r>
        <w:t>Subcooling factors:</w:t>
      </w:r>
    </w:p>
    <w:p>
      <w:pPr>
        <w:spacing w:line="240" w:lineRule="auto" w:after="200" w:before="120"/>
        <w:ind w:left="360"/>
      </w:pPr>
      <w:r>
        <w:rPr>
          <w:rFonts w:ascii="Consolas" w:hAnsi="Consolas"/>
          <w:sz w:val="18"/>
        </w:rPr>
        <w:t>K6 = 1.043 / (4 C_Kc (σρ_f/(G²L))^{0.043})                                 (14)  [S: C_Kc]</w:t>
        <w:br/>
        <w:t>K7 = (5/6) · [ 0.0124 + D_H/L ] / [ (ρ_g/ρ_f)^{0.133} (σρ_f/(G²L))^{0.333} ]   (15)</w:t>
        <w:br/>
        <w:t>K9 = 1.12 · [ 1.52(σρ_f/(G²L))^{0.233} + D_H/L ] / [ (ρ_g/ρ_f)^{0.6}(σρ_f/(G²L))^{0.173} ]   (16)</w:t>
      </w:r>
    </w:p>
    <w:p>
      <w:pPr>
        <w:jc w:val="both"/>
      </w:pPr>
      <w:r>
        <w:t xml:space="preserve">Regime selection — </w:t>
      </w:r>
      <w:r>
        <w:rPr>
          <w:b/>
        </w:rPr>
        <w:t>the interesting part</w:t>
      </w:r>
      <w:r>
        <w:t xml:space="preserve"> </w:t>
      </w:r>
      <w:r>
        <w:rPr>
          <w:b/>
        </w:rPr>
        <w:t>[V]</w:t>
      </w:r>
      <w:r>
        <w:t>:</w:t>
      </w:r>
    </w:p>
    <w:p>
      <w:pPr>
        <w:spacing w:line="240" w:lineRule="auto" w:after="200" w:before="120"/>
        <w:ind w:left="360"/>
      </w:pPr>
      <w:r>
        <w:rPr>
          <w:rFonts w:ascii="Consolas" w:hAnsi="Consolas"/>
          <w:sz w:val="18"/>
        </w:rPr>
        <w:t>q″_co = min(q″_co,2, q″_co,3, q″_co,4)     if ρ_g/ρ_f &lt; 0.15</w:t>
        <w:br/>
        <w:t xml:space="preserve">      = min(q″_co,2, q″_co,5, q″_co,13)    if ρ_g/ρ_f &gt; 0.15               (17)</w:t>
        <w:br/>
        <w:br/>
        <w:t>K     = max(K6, K7)                        if ρ_g/ρ_f &lt; 0.15</w:t>
        <w:br/>
        <w:t xml:space="preserve">      = max(K6, K7, K9)                    if ρ_g/ρ_f &gt; 0.15               (18)</w:t>
      </w:r>
    </w:p>
    <w:p>
      <w:pPr>
        <w:ind w:left="480" w:right="480"/>
      </w:pPr>
      <w:r>
        <w:rPr>
          <w:b/>
          <w:i/>
        </w:rPr>
        <w:t>`ρ_g/ρ_f = 0.15` is a real, physically-motivated regime boundary</w:t>
      </w:r>
      <w:r>
        <w:rPr>
          <w:i/>
        </w:rPr>
        <w:t xml:space="preserve"> — the density ratio at which the controlling CHF mechanism changes. It is a natural gate for a mixture-of- experts architecture, and it comes free from the physics rather than from cross-validation. Note also that the whole correlation is expressed in </w:t>
      </w:r>
      <w:r>
        <w:rPr>
          <w:rFonts w:ascii="Consolas" w:hAnsi="Consolas"/>
          <w:i/>
          <w:sz w:val="21"/>
        </w:rPr>
        <w:t>Bo</w:t>
      </w:r>
      <w:r>
        <w:rPr>
          <w:i/>
        </w:rPr>
        <w:t xml:space="preserve">, </w:t>
      </w:r>
      <w:r>
        <w:rPr>
          <w:rFonts w:ascii="Consolas" w:hAnsi="Consolas"/>
          <w:i/>
          <w:sz w:val="21"/>
        </w:rPr>
        <w:t>σρ_f/(G²L)</w:t>
      </w:r>
      <w:r>
        <w:rPr>
          <w:i/>
        </w:rPr>
        <w:t xml:space="preserve">, </w:t>
      </w:r>
      <w:r>
        <w:rPr>
          <w:rFonts w:ascii="Consolas" w:hAnsi="Consolas"/>
          <w:i/>
          <w:sz w:val="21"/>
        </w:rPr>
        <w:t>ρ_g/ρ_f</w:t>
      </w:r>
      <w:r>
        <w:rPr>
          <w:i/>
        </w:rPr>
        <w:t xml:space="preserve"> and </w:t>
      </w:r>
      <w:r>
        <w:rPr>
          <w:rFonts w:ascii="Consolas" w:hAnsi="Consolas"/>
          <w:i/>
          <w:sz w:val="21"/>
        </w:rPr>
        <w:t>L/D</w:t>
      </w:r>
      <w:r>
        <w:rPr>
          <w:i/>
        </w:rPr>
        <w:t xml:space="preserve"> — exactly the four-group space of §2.2.</w:t>
      </w:r>
    </w:p>
    <w:p>
      <w:pPr>
        <w:jc w:val="both"/>
      </w:pPr>
      <w:r>
        <w:rPr>
          <w:b/>
        </w:rPr>
        <w:t>[S] flag:</w:t>
      </w:r>
      <w:r>
        <w:t xml:space="preserve"> </w:t>
      </w:r>
      <w:r>
        <w:rPr>
          <w:rFonts w:ascii="Consolas" w:hAnsi="Consolas"/>
          <w:sz w:val="21"/>
        </w:rPr>
        <w:t>C_Kc</w:t>
      </w:r>
      <w:r>
        <w:t xml:space="preserve"> is the Katto–Ohno length-dependent constant (a piecewise function of</w:t>
      </w:r>
    </w:p>
    <w:p>
      <w:pPr>
        <w:jc w:val="both"/>
      </w:pPr>
      <w:r>
        <w:rPr>
          <w:rFonts w:ascii="Consolas" w:hAnsi="Consolas"/>
          <w:sz w:val="21"/>
        </w:rPr>
        <w:t>L/D</w:t>
      </w:r>
      <w:r>
        <w:t>). Its value did not extract cleanly from the OCR and **must be read from Katto &amp;</w:t>
      </w:r>
    </w:p>
    <w:p>
      <w:pPr>
        <w:jc w:val="both"/>
      </w:pPr>
      <w:r>
        <w:t>Ohno (1984), *Int. J. Heat Mass Transfer* 27(9):1641** before implementation.</w:t>
      </w:r>
    </w:p>
    <w:p>
      <w:pPr>
        <w:pStyle w:val="Heading3"/>
      </w:pPr>
      <w:r>
        <w:rPr>
          <w:rFonts w:ascii="Times New Roman" w:hAnsi="Times New Roman"/>
          <w:color w:val="000000"/>
        </w:rPr>
        <w:t>5.6 Shah (1987)</w:t>
      </w:r>
    </w:p>
    <w:p>
      <w:pPr>
        <w:jc w:val="both"/>
      </w:pPr>
      <w:r>
        <w:t xml:space="preserve">The UCC (upstream conditions correlation) version </w:t>
      </w:r>
      <w:r>
        <w:rPr>
          <w:b/>
        </w:rPr>
        <w:t>[V]</w:t>
      </w:r>
      <w:r>
        <w:t>:</w:t>
      </w:r>
    </w:p>
    <w:p>
      <w:pPr>
        <w:spacing w:line="240" w:lineRule="auto" w:after="200" w:before="120"/>
        <w:ind w:left="360"/>
      </w:pPr>
      <w:r>
        <w:rPr>
          <w:rFonts w:ascii="Consolas" w:hAnsi="Consolas"/>
          <w:sz w:val="18"/>
        </w:rPr>
        <w:t>Bo = q″_CHF/(G h_fg) = 0.124 (D_H/L_E)^{0.89} (10⁴/Y)^n (1 − x_iE)         (19)</w:t>
        <w:br/>
        <w:br/>
        <w:t>L_E  = L                        if x_in ≤ 0</w:t>
        <w:br/>
        <w:t xml:space="preserve">     = L + D_H x_in/(4 Bo)      if x_in &gt; 0                                (20)</w:t>
        <w:br/>
        <w:br/>
        <w:t>x_iE = x_in                     if x_in ≤ 0</w:t>
        <w:br/>
        <w:t xml:space="preserve">     = 0                        if x_in &gt; 0                                (21)</w:t>
        <w:br/>
        <w:br/>
        <w:t>Y = (G D_H c_p,f / k_f) · (ρ_f 2 g D_H / G²)  ...                          (22)  [S: partial OCR]</w:t>
        <w:br/>
        <w:br/>
        <w:t>F3 = (1.25×10⁵/Y)^{0.833 x_eq}                                             (31)</w:t>
        <w:br/>
        <w:t>c  = 0 if P/P_cr ≤ 0.6; 1 if P/P_cr &gt; 0.6                                  (32)</w:t>
      </w:r>
    </w:p>
    <w:p>
      <w:pPr>
        <w:jc w:val="both"/>
      </w:pPr>
      <w:r>
        <w:t xml:space="preserve">Shah's own selection rule </w:t>
      </w:r>
      <w:r>
        <w:rPr>
          <w:b/>
        </w:rPr>
        <w:t>[V]</w:t>
      </w:r>
      <w:r>
        <w:t xml:space="preserve">: use the UCC method when </w:t>
      </w:r>
      <w:r>
        <w:rPr>
          <w:rFonts w:ascii="Consolas" w:hAnsi="Consolas"/>
          <w:sz w:val="21"/>
        </w:rPr>
        <w:t>Y ≤ 10⁶</w:t>
      </w:r>
      <w:r>
        <w:t xml:space="preserve"> or</w:t>
      </w:r>
    </w:p>
    <w:p>
      <w:pPr>
        <w:jc w:val="both"/>
      </w:pPr>
      <w:r>
        <w:rPr>
          <w:rFonts w:ascii="Consolas" w:hAnsi="Consolas"/>
          <w:sz w:val="21"/>
        </w:rPr>
        <w:t>L_E &gt; 160/(P/P_cr)^{1.14}</w:t>
      </w:r>
      <w:r>
        <w:t xml:space="preserve">; otherwise use whichever version yields the </w:t>
      </w:r>
      <w:r>
        <w:rPr>
          <w:b/>
        </w:rPr>
        <w:t>lower</w:t>
      </w:r>
      <w:r>
        <w:t xml:space="preserve"> </w:t>
      </w:r>
      <w:r>
        <w:rPr>
          <w:rFonts w:ascii="Consolas" w:hAnsi="Consolas"/>
          <w:sz w:val="21"/>
        </w:rPr>
        <w:t>Bo</w:t>
      </w:r>
    </w:p>
    <w:p>
      <w:pPr>
        <w:jc w:val="both"/>
      </w:pPr>
      <w:r>
        <w:t>(i.e. the conservative branch). Described in the source as "based on a vast amount of data</w:t>
      </w:r>
    </w:p>
    <w:p>
      <w:pPr>
        <w:jc w:val="both"/>
      </w:pPr>
      <w:r>
        <w:t>and can be applied to various fluids."</w:t>
      </w:r>
    </w:p>
    <w:p>
      <w:pPr>
        <w:jc w:val="both"/>
      </w:pPr>
      <w:r>
        <w:rPr>
          <w:b/>
        </w:rPr>
        <w:t>[S] flag:</w:t>
      </w:r>
      <w:r>
        <w:t xml:space="preserve"> the full </w:t>
      </w:r>
      <w:r>
        <w:rPr>
          <w:rFonts w:ascii="Consolas" w:hAnsi="Consolas"/>
          <w:sz w:val="21"/>
        </w:rPr>
        <w:t>Y</w:t>
      </w:r>
      <w:r>
        <w:t xml:space="preserve"> definition and Eqs. 23–30/33–36 did not extract cleanly.</w:t>
      </w:r>
    </w:p>
    <w:p>
      <w:pPr>
        <w:pStyle w:val="Heading3"/>
      </w:pPr>
      <w:r>
        <w:rPr>
          <w:rFonts w:ascii="Times New Roman" w:hAnsi="Times New Roman"/>
          <w:color w:val="000000"/>
        </w:rPr>
        <w:t>5.7 Hall &amp; Mudawar (2000) — the cleanest dimensionless correlation</w:t>
      </w:r>
    </w:p>
    <w:p>
      <w:pPr>
        <w:jc w:val="both"/>
      </w:pPr>
      <w:r>
        <w:rPr>
          <w:b/>
        </w:rPr>
        <w:t>This is the most important correlation in this document for our purposes</w:t>
      </w:r>
      <w:r>
        <w:t>, because it</w:t>
      </w:r>
    </w:p>
    <w:p>
      <w:pPr>
        <w:jc w:val="both"/>
      </w:pPr>
      <w:r>
        <w:t>is fully dimensionless, has only five constants, and — uniquely — its functional form was</w:t>
      </w:r>
    </w:p>
    <w:p>
      <w:pPr>
        <w:jc w:val="both"/>
      </w:pPr>
      <w:r>
        <w:t>*derived from observed parametric trends* rather than guessed and regressed. From Hall &amp;</w:t>
      </w:r>
    </w:p>
    <w:p>
      <w:pPr>
        <w:jc w:val="both"/>
      </w:pPr>
      <w:r>
        <w:t xml:space="preserve">Mudawar, *IJHMT* 43:2605 </w:t>
      </w:r>
      <w:r>
        <w:rPr>
          <w:b/>
        </w:rPr>
        <w:t>[V]</w:t>
      </w:r>
      <w:r>
        <w:t>:</w:t>
      </w:r>
    </w:p>
    <w:p>
      <w:pPr>
        <w:jc w:val="both"/>
      </w:pPr>
      <w:r>
        <w:rPr>
          <w:b/>
        </w:rPr>
        <w:t>Outlet (local) conditions form:</w:t>
      </w:r>
    </w:p>
    <w:p>
      <w:pPr>
        <w:spacing w:line="240" w:lineRule="auto" w:after="200" w:before="120"/>
        <w:ind w:left="360"/>
      </w:pPr>
      <w:r>
        <w:rPr>
          <w:rFonts w:ascii="Consolas" w:hAnsi="Consolas"/>
          <w:sz w:val="18"/>
        </w:rPr>
        <w:t>Bo = C₁ We_D^{C₂} (ρ_f/ρ_g)^{C₃} [ 1 − C₄ (ρ_f/ρ_g)^{C₅} x_o ]            (7)</w:t>
        <w:br/>
        <w:br/>
        <w:t>C₁ = 0.0332,  C₂ = −0.235,  C₃ = −0.681,  C₄ = 0.684,  C₅ = 0.832</w:t>
      </w:r>
    </w:p>
    <w:p>
      <w:pPr>
        <w:jc w:val="both"/>
      </w:pPr>
      <w:r>
        <w:t xml:space="preserve">with </w:t>
      </w:r>
      <w:r>
        <w:rPr>
          <w:rFonts w:ascii="Consolas" w:hAnsi="Consolas"/>
          <w:sz w:val="21"/>
        </w:rPr>
        <w:t>Bo = q″/(G h_fg)</w:t>
      </w:r>
      <w:r>
        <w:t xml:space="preserve">, </w:t>
      </w:r>
      <w:r>
        <w:rPr>
          <w:rFonts w:ascii="Consolas" w:hAnsi="Consolas"/>
          <w:sz w:val="21"/>
        </w:rPr>
        <w:t>We_D = G²D/(ρ_f σ)</w:t>
      </w:r>
      <w:r>
        <w:t>.</w:t>
      </w:r>
    </w:p>
    <w:p>
      <w:pPr>
        <w:jc w:val="both"/>
      </w:pPr>
      <w:r>
        <w:rPr>
          <w:b/>
        </w:rPr>
        <w:t>Inlet conditions form</w:t>
      </w:r>
      <w:r>
        <w:t xml:space="preserve"> (obtained by substituting the energy balance, §1.5) </w:t>
      </w:r>
      <w:r>
        <w:rPr>
          <w:b/>
        </w:rPr>
        <w:t>[V]</w:t>
      </w:r>
      <w:r>
        <w:t>:</w:t>
      </w:r>
    </w:p>
    <w:p>
      <w:pPr>
        <w:spacing w:line="240" w:lineRule="auto" w:after="200" w:before="120"/>
        <w:ind w:left="360"/>
      </w:pPr>
      <w:r>
        <w:rPr>
          <w:rFonts w:ascii="Consolas" w:hAnsi="Consolas"/>
          <w:sz w:val="18"/>
        </w:rPr>
        <w:t xml:space="preserve">             C₁ We_D^{C₂} (ρ_f/ρ_g)^{C₃} [ 1 − C₄(ρ_f/ρ_g)^{C₅} x_i* ]</w:t>
        <w:br/>
        <w:t>Bo  =  ───────────────────────────────────────────────────────────────────    (11)</w:t>
        <w:br/>
        <w:t xml:space="preserve">              1 + 4 C₁ C₄ We_D^{C₂} (ρ_f/ρ_g)^{C₃+C₅} (L/D)</w:t>
      </w:r>
    </w:p>
    <w:p>
      <w:pPr>
        <w:jc w:val="both"/>
      </w:pPr>
      <w:r>
        <w:t xml:space="preserve">All saturated properties at outlet pressure. Reported accuracy: </w:t>
      </w:r>
      <w:r>
        <w:rPr>
          <w:b/>
        </w:rPr>
        <w:t>MAE 10.3%, RMS 14.3%</w:t>
      </w:r>
    </w:p>
    <w:p>
      <w:pPr>
        <w:jc w:val="both"/>
      </w:pPr>
      <w:r>
        <w:t>for the inlet form — *more accurate than the CHF look-up table* on their database.</w:t>
      </w:r>
    </w:p>
    <w:p>
      <w:pPr>
        <w:jc w:val="both"/>
      </w:pPr>
      <w:r>
        <w:t xml:space="preserve">Validity </w:t>
      </w:r>
      <w:r>
        <w:rPr>
          <w:b/>
        </w:rPr>
        <w:t>[V]</w:t>
      </w:r>
      <w:r>
        <w:t xml:space="preserve">: </w:t>
      </w:r>
      <w:r>
        <w:rPr>
          <w:rFonts w:ascii="Consolas" w:hAnsi="Consolas"/>
          <w:sz w:val="21"/>
        </w:rPr>
        <w:t>0.25×10⁻³ ≤ D ≤ 15×10⁻³ m</w:t>
      </w:r>
      <w:r>
        <w:t xml:space="preserve">, </w:t>
      </w:r>
      <w:r>
        <w:rPr>
          <w:rFonts w:ascii="Consolas" w:hAnsi="Consolas"/>
          <w:sz w:val="21"/>
        </w:rPr>
        <w:t>2 ≤ L/D ≤ 200</w:t>
      </w:r>
      <w:r>
        <w:t>,</w:t>
      </w:r>
    </w:p>
    <w:p>
      <w:pPr>
        <w:jc w:val="both"/>
      </w:pPr>
      <w:r>
        <w:rPr>
          <w:rFonts w:ascii="Consolas" w:hAnsi="Consolas"/>
          <w:sz w:val="21"/>
        </w:rPr>
        <w:t>300 ≤ G ≤ 30,000 kg m⁻²s⁻¹</w:t>
      </w:r>
      <w:r>
        <w:t xml:space="preserve">, </w:t>
      </w:r>
      <w:r>
        <w:rPr>
          <w:rFonts w:ascii="Consolas" w:hAnsi="Consolas"/>
          <w:sz w:val="21"/>
        </w:rPr>
        <w:t>1×10⁵ ≤ P ≤ 200×10⁵ N m⁻²</w:t>
      </w:r>
      <w:r>
        <w:t xml:space="preserve">, </w:t>
      </w:r>
      <w:r>
        <w:rPr>
          <w:rFonts w:ascii="Consolas" w:hAnsi="Consolas"/>
          <w:sz w:val="21"/>
        </w:rPr>
        <w:t>−2.0 ≤ x_i ≤ 0.0</w:t>
      </w:r>
      <w:r>
        <w:t>,</w:t>
      </w:r>
    </w:p>
    <w:p>
      <w:pPr>
        <w:jc w:val="both"/>
      </w:pPr>
      <w:r>
        <w:rPr>
          <w:rFonts w:ascii="Consolas" w:hAnsi="Consolas"/>
          <w:sz w:val="21"/>
        </w:rPr>
        <w:t>−1.0 ≤ x_o ≤ 0.0</w:t>
      </w:r>
      <w:r>
        <w:t xml:space="preserve"> (subcooled outlet; ~85% of their subcooled database).</w:t>
      </w:r>
    </w:p>
    <w:p>
      <w:pPr>
        <w:jc w:val="both"/>
      </w:pPr>
      <w:r>
        <w:t xml:space="preserve">The authors' own claim about *why* it generalises is the thesis of this document </w:t>
      </w:r>
      <w:r>
        <w:rPr>
          <w:b/>
        </w:rPr>
        <w:t>[V]</w:t>
      </w:r>
      <w:r>
        <w:t>:</w:t>
      </w:r>
    </w:p>
    <w:p>
      <w:pPr>
        <w:ind w:left="480" w:right="480"/>
      </w:pPr>
      <w:r>
        <w:rPr>
          <w:i/>
        </w:rPr>
        <w:t xml:space="preserve">"Superiority of the correlations was attributed to the </w:t>
      </w:r>
      <w:r>
        <w:rPr>
          <w:b/>
          <w:i/>
        </w:rPr>
        <w:t>systematic development of the functional forms of the correlations from the CHF parametric effects</w:t>
      </w:r>
      <w:r>
        <w:rPr>
          <w:i/>
        </w:rPr>
        <w:t xml:space="preserve">; thus, re-optimization of the constants, when additional subcooled CHF data become available, is </w:t>
      </w:r>
      <w:r>
        <w:rPr>
          <w:b/>
          <w:i/>
        </w:rPr>
        <w:t>not expected to produce an appreciable increase in accuracy</w:t>
      </w:r>
      <w:r>
        <w:rPr>
          <w:i/>
        </w:rPr>
        <w:t>."</w:t>
      </w:r>
    </w:p>
    <w:p>
      <w:pPr>
        <w:ind w:left="480" w:right="480"/>
      </w:pPr>
      <w:r>
        <w:rPr>
          <w:b/>
          <w:i/>
        </w:rPr>
        <w:t>Read that again.</w:t>
      </w:r>
      <w:r>
        <w:rPr>
          <w:i/>
        </w:rPr>
        <w:t xml:space="preserve"> A five-constant physics-derived form that does not improve when refitted on more data — that is the definition of a model that has captured the physics rather than the dataset. This is precisely the property our surface-wise and LOSO splits are trying to measure, and it is the target our proposed algorithm should aim at.</w:t>
      </w:r>
    </w:p>
    <w:p>
      <w:pPr>
        <w:pStyle w:val="Heading3"/>
      </w:pPr>
      <w:r>
        <w:rPr>
          <w:rFonts w:ascii="Times New Roman" w:hAnsi="Times New Roman"/>
          <w:color w:val="000000"/>
        </w:rPr>
        <w:t xml:space="preserve">5.8 W-3 (Tong) and Bowring — </w:t>
      </w:r>
      <w:r>
        <w:rPr>
          <w:rFonts w:ascii="Times New Roman" w:hAnsi="Times New Roman"/>
          <w:b/>
          <w:color w:val="000000"/>
        </w:rPr>
        <w:t>[X] NOT TRANSCRIBED</w:t>
      </w:r>
    </w:p>
    <w:p>
      <w:pPr>
        <w:jc w:val="both"/>
      </w:pPr>
      <w:r>
        <w:t>Both are heavily cited (W-3 is the standard PWR DNB correlation; Bowring 1972 is a</w:t>
      </w:r>
    </w:p>
    <w:p>
      <w:pPr>
        <w:jc w:val="both"/>
      </w:pPr>
      <w:r>
        <w:t>standard tube correlation) and both appear in the ML-CHF literature as baselines. **No</w:t>
      </w:r>
    </w:p>
    <w:p>
      <w:pPr>
        <w:jc w:val="both"/>
      </w:pPr>
      <w:r>
        <w:t>clean primary source was obtained during this research** — the accessible sources</w:t>
      </w:r>
    </w:p>
    <w:p>
      <w:pPr>
        <w:jc w:val="both"/>
      </w:pPr>
      <w:r>
        <w:t>described them without giving full constants.</w:t>
      </w:r>
    </w:p>
    <w:p>
      <w:pPr>
        <w:jc w:val="both"/>
      </w:pPr>
      <w:r>
        <w:rPr>
          <w:b/>
        </w:rPr>
        <w:t>Do not write these into the paper from memory.</w:t>
      </w:r>
      <w:r>
        <w:t xml:space="preserve"> Obtain:</w:t>
      </w:r>
    </w:p>
    <w:p>
      <w:pPr>
        <w:pStyle w:val="ListBullet"/>
        <w:spacing w:line="360" w:lineRule="auto"/>
      </w:pPr>
      <w:r>
        <w:t>Tong, L.S. (1967/1972), W-3 correlation — via the Westinghouse justification document</w:t>
      </w:r>
    </w:p>
    <w:p>
      <w:pPr>
        <w:jc w:val="both"/>
      </w:pPr>
      <w:r>
        <w:rPr>
          <w:rFonts w:ascii="Consolas" w:hAnsi="Consolas"/>
          <w:sz w:val="21"/>
        </w:rPr>
        <w:t>ML17254A842.pdf</w:t>
      </w:r>
      <w:r>
        <w:t xml:space="preserve"> on nrc.gov, or Todreas &amp; Kazimi *Nuclear Systems I*.</w:t>
      </w:r>
    </w:p>
    <w:p>
      <w:pPr>
        <w:pStyle w:val="ListBullet"/>
        <w:spacing w:line="360" w:lineRule="auto"/>
      </w:pPr>
      <w:r>
        <w:t>Bowring, R.W. (1972), AEEW-R789.</w:t>
      </w:r>
    </w:p>
    <w:p>
      <w:pPr>
        <w:pStyle w:val="ListBullet"/>
        <w:spacing w:line="360" w:lineRule="auto"/>
      </w:pPr>
      <w:r>
        <w:t xml:space="preserve">Tong's </w:t>
      </w:r>
      <w:r>
        <w:rPr>
          <w:b/>
        </w:rPr>
        <w:t>F-factor</w:t>
      </w:r>
      <w:r>
        <w:t xml:space="preserve"> for non-uniform axial heat flux — MIT OCW 22.313J has a note on the</w:t>
      </w:r>
    </w:p>
    <w:p>
      <w:pPr>
        <w:jc w:val="both"/>
      </w:pPr>
      <w:r>
        <w:t>shape factor (</w:t>
      </w:r>
      <w:r>
        <w:rPr>
          <w:rFonts w:ascii="Consolas" w:hAnsi="Consolas"/>
          <w:sz w:val="21"/>
        </w:rPr>
        <w:t>chf_shape.pdf</w:t>
      </w:r>
      <w:r>
        <w:t>).</w:t>
      </w:r>
    </w:p>
    <w:p>
      <w:pPr>
        <w:pStyle w:val="Heading3"/>
      </w:pPr>
      <w:r>
        <w:rPr>
          <w:rFonts w:ascii="Times New Roman" w:hAnsi="Times New Roman"/>
          <w:color w:val="000000"/>
        </w:rPr>
        <w:t>5.9 Analytical/mechanistic flow-boiling models</w:t>
      </w:r>
    </w:p>
    <w:p>
      <w:pPr>
        <w:jc w:val="both"/>
      </w:pPr>
      <w:r>
        <w:t xml:space="preserve">NUREG/KM-0011 §3.2 divides them into two families </w:t>
      </w:r>
      <w:r>
        <w:rPr>
          <w:b/>
        </w:rPr>
        <w:t>[V]</w:t>
      </w:r>
      <w:r>
        <w:t>:</w:t>
      </w:r>
    </w:p>
    <w:p>
      <w:pPr>
        <w:jc w:val="both"/>
      </w:pPr>
      <w:r>
        <w:rPr>
          <w:b/>
        </w:rPr>
        <w:t>(1) Annular film dryout models</w:t>
      </w:r>
      <w:r>
        <w:t xml:space="preserve"> — mass balance on the liquid film; CHF = film</w:t>
      </w:r>
    </w:p>
    <w:p>
      <w:pPr>
        <w:jc w:val="both"/>
      </w:pPr>
      <w:r>
        <w:t>depletion. Originated by Hewitt and co-workers (Hewitt &amp; Hall-Taylor 1970; Bennett et al.</w:t>
      </w:r>
    </w:p>
    <w:p>
      <w:pPr>
        <w:jc w:val="both"/>
      </w:pPr>
      <w:r>
        <w:t>1967). Models differ in their closures for **droplet entrainment, deposition, interfacial</w:t>
      </w:r>
    </w:p>
    <w:p>
      <w:pPr>
        <w:jc w:val="both"/>
      </w:pPr>
      <w:r>
        <w:t>friction and interfacial heat transfer**. Good for annular flow at medium-to-high pressure</w:t>
      </w:r>
    </w:p>
    <w:p>
      <w:pPr>
        <w:jc w:val="both"/>
      </w:pPr>
      <w:r>
        <w:t>and flow, void fraction &gt; 50%.</w:t>
      </w:r>
    </w:p>
    <w:p>
      <w:pPr>
        <w:jc w:val="both"/>
      </w:pPr>
      <w:r>
        <w:rPr>
          <w:b/>
        </w:rPr>
        <w:t>(2) Bubbly layer models</w:t>
      </w:r>
      <w:r>
        <w:t xml:space="preserve"> — CHF at low quality when the near-wall bubble layer becomes</w:t>
      </w:r>
    </w:p>
    <w:p>
      <w:pPr>
        <w:jc w:val="both"/>
      </w:pPr>
      <w:r>
        <w:t>so thick and vapour-saturated that liquid mixing with the cooler core stops. Tong (1965,</w:t>
      </w:r>
    </w:p>
    <w:p>
      <w:pPr>
        <w:jc w:val="both"/>
      </w:pPr>
      <w:r>
        <w:t xml:space="preserve">1968), Tong &amp; Hewitt (1972), </w:t>
      </w:r>
      <w:r>
        <w:rPr>
          <w:b/>
        </w:rPr>
        <w:t>Weisman &amp; Pei (1983)</w:t>
      </w:r>
      <w:r>
        <w:t>, Ying &amp; Weisman (1986). Good for</w:t>
      </w:r>
    </w:p>
    <w:p>
      <w:pPr>
        <w:jc w:val="both"/>
      </w:pPr>
      <w:r>
        <w:t>high-pressure, high-flow, low-quality/subcooled conditions.</w:t>
      </w:r>
    </w:p>
    <w:p>
      <w:pPr>
        <w:jc w:val="both"/>
      </w:pPr>
      <w:r>
        <w:t xml:space="preserve">NUREG's honest assessment, which we should quote </w:t>
      </w:r>
      <w:r>
        <w:rPr>
          <w:b/>
        </w:rPr>
        <w:t>[V]</w:t>
      </w:r>
      <w:r>
        <w:t>:</w:t>
      </w:r>
    </w:p>
    <w:p>
      <w:pPr>
        <w:ind w:left="480" w:right="480"/>
      </w:pPr>
      <w:r>
        <w:rPr>
          <w:i/>
        </w:rPr>
        <w:t xml:space="preserve">"CHF models tend to be </w:t>
      </w:r>
      <w:r>
        <w:rPr>
          <w:b/>
          <w:i/>
        </w:rPr>
        <w:t>less accurate than empirical correlations</w:t>
      </w:r>
      <w:r>
        <w:rPr>
          <w:i/>
        </w:rPr>
        <w:t xml:space="preserve"> over the range of the correlation's database... the evaluation process is complex and time consuming."</w:t>
      </w:r>
    </w:p>
    <w:p>
      <w:pPr>
        <w:jc w:val="both"/>
      </w:pPr>
      <w:r>
        <w:t>There are 50+ such models; Weisman (1992) reviewed them.</w:t>
      </w:r>
    </w:p>
    <w:p>
      <w:pPr>
        <w:jc w:val="both"/>
      </w:pPr>
      <w:r>
        <w:rPr>
          <w:b/>
        </w:rPr>
        <w:t>(3) Liquid sublayer dryout</w:t>
      </w:r>
      <w:r>
        <w:t xml:space="preserve"> — the third family, favoured in the modern DNB literature</w:t>
      </w:r>
    </w:p>
    <w:p>
      <w:pPr>
        <w:jc w:val="both"/>
      </w:pPr>
      <w:r>
        <w:t>because of direct experimental evidence in internally heated round tubes. DNB is caused by</w:t>
      </w:r>
    </w:p>
    <w:p>
      <w:pPr>
        <w:jc w:val="both"/>
      </w:pPr>
      <w:r>
        <w:t>complete evaporation of a thin superheated liquid layer beneath a vapour blanket sliding</w:t>
      </w:r>
    </w:p>
    <w:p>
      <w:pPr>
        <w:jc w:val="both"/>
      </w:pPr>
      <w:r>
        <w:t xml:space="preserve">along the wall. Heat balance (Zhao et al. 2019, Eq. 2) </w:t>
      </w:r>
      <w:r>
        <w:rPr>
          <w:b/>
        </w:rPr>
        <w:t>[V]</w:t>
      </w:r>
      <w:r>
        <w:t>:</w:t>
      </w:r>
    </w:p>
    <w:p>
      <w:pPr>
        <w:spacing w:line="240" w:lineRule="auto" w:after="200" w:before="120"/>
        <w:ind w:left="360"/>
      </w:pPr>
      <w:r>
        <w:rPr>
          <w:rFonts w:ascii="Consolas" w:hAnsi="Consolas"/>
          <w:sz w:val="18"/>
        </w:rPr>
        <w:t>CHF = ρ_f δ h_fg U_B / L_B</w:t>
      </w:r>
    </w:p>
    <w:p>
      <w:pPr>
        <w:jc w:val="both"/>
      </w:pPr>
      <w:r>
        <w:rPr>
          <w:rFonts w:ascii="Consolas" w:hAnsi="Consolas"/>
          <w:sz w:val="21"/>
        </w:rPr>
        <w:t>δ</w:t>
      </w:r>
      <w:r>
        <w:t xml:space="preserve"> = liquid sublayer thickness, </w:t>
      </w:r>
      <w:r>
        <w:rPr>
          <w:rFonts w:ascii="Consolas" w:hAnsi="Consolas"/>
          <w:sz w:val="21"/>
        </w:rPr>
        <w:t>U_B</w:t>
      </w:r>
      <w:r>
        <w:t xml:space="preserve"> = vapour blanket velocity, </w:t>
      </w:r>
      <w:r>
        <w:rPr>
          <w:rFonts w:ascii="Consolas" w:hAnsi="Consolas"/>
          <w:sz w:val="21"/>
        </w:rPr>
        <w:t>L_B</w:t>
      </w:r>
      <w:r>
        <w:t xml:space="preserve"> = vapour blanket</w:t>
      </w:r>
    </w:p>
    <w:p>
      <w:pPr>
        <w:jc w:val="both"/>
      </w:pPr>
      <w:r>
        <w:t>length. The whole modelling problem reduces to closing these three quantities. The **Liu</w:t>
      </w:r>
    </w:p>
    <w:p>
      <w:pPr>
        <w:jc w:val="both"/>
      </w:pPr>
      <w:r>
        <w:t>model** is the most recent in the series, analysing instabilities at both the</w:t>
      </w:r>
    </w:p>
    <w:p>
      <w:pPr>
        <w:jc w:val="both"/>
      </w:pPr>
      <w:r>
        <w:t xml:space="preserve">sublayer/blanket and blanket/bulk interfaces. Reported limitations </w:t>
      </w:r>
      <w:r>
        <w:rPr>
          <w:b/>
        </w:rPr>
        <w:t>[V]</w:t>
      </w:r>
      <w:r>
        <w:t>: closure</w:t>
      </w:r>
    </w:p>
    <w:p>
      <w:pPr>
        <w:jc w:val="both"/>
      </w:pPr>
      <w:r>
        <w:t xml:space="preserve">relations exist essentially only for </w:t>
      </w:r>
      <w:r>
        <w:rPr>
          <w:b/>
        </w:rPr>
        <w:t>round tubes</w:t>
      </w:r>
      <w:r>
        <w:t>, and the model is **deficient at low</w:t>
      </w:r>
    </w:p>
    <w:p>
      <w:pPr>
        <w:jc w:val="both"/>
      </w:pPr>
      <w:r>
        <w:t>subcooling** — and it is outperformed by the purely data-driven LUT.</w:t>
      </w:r>
    </w:p>
    <w:p>
      <w:pPr>
        <w:ind w:left="480" w:right="480"/>
      </w:pPr>
      <w:r>
        <w:rPr>
          <w:i/>
        </w:rPr>
        <w:t>Note the pattern across §5.9: mechanistic models are more *transferable* in principle but less *accurate* in practice, because their closures are themselves empirical and tube-specific. This is the core tension our project sits in, and the honest framing for the paper's contribution.</w:t>
      </w:r>
    </w:p>
    <w:p>
      <w:pPr>
        <w:jc w:val="center"/>
      </w:pPr>
      <w:r>
        <w:rPr>
          <w:sz w:val="20"/>
        </w:rPr>
        <w:t>• • •</w:t>
      </w:r>
    </w:p>
    <w:p>
      <w:pPr>
        <w:pStyle w:val="Heading2"/>
      </w:pPr>
      <w:r>
        <w:rPr>
          <w:rFonts w:ascii="Times New Roman" w:hAnsi="Times New Roman"/>
          <w:color w:val="000000"/>
        </w:rPr>
        <w:t>6. Geometry-specific physics</w:t>
      </w:r>
    </w:p>
    <w:p>
      <w:pPr>
        <w:pStyle w:val="Heading3"/>
      </w:pPr>
      <w:r>
        <w:rPr>
          <w:rFonts w:ascii="Times New Roman" w:hAnsi="Times New Roman"/>
          <w:color w:val="000000"/>
        </w:rPr>
        <w:t>6.1 Helical coils</w:t>
      </w:r>
    </w:p>
    <w:p>
      <w:pPr>
        <w:jc w:val="both"/>
      </w:pPr>
      <w:r>
        <w:t>Physically distinct from straight tubes because of **centrifugal force and secondary</w:t>
      </w:r>
    </w:p>
    <w:p>
      <w:pPr>
        <w:jc w:val="both"/>
      </w:pPr>
      <w:r>
        <w:t>flow</w:t>
      </w:r>
      <w:r>
        <w:rPr>
          <w:b/>
        </w:rPr>
        <w:t xml:space="preserve">. Hardik &amp; Prabhu (2017), *Applied Thermal Engineering* 112:1223 </w:t>
      </w:r>
      <w:r>
        <w:t>[V]**:</w:t>
      </w:r>
    </w:p>
    <w:p>
      <w:pPr>
        <w:jc w:val="both"/>
      </w:pPr>
      <w:r>
        <w:t xml:space="preserve">Mechanism: phase separation, with low-density vapour driven to the </w:t>
      </w:r>
      <w:r>
        <w:rPr>
          <w:b/>
        </w:rPr>
        <w:t>inner</w:t>
      </w:r>
      <w:r>
        <w:t xml:space="preserve"> side and</w:t>
      </w:r>
    </w:p>
    <w:p>
      <w:pPr>
        <w:jc w:val="both"/>
      </w:pPr>
      <w:r>
        <w:t xml:space="preserve">high-density liquid to the </w:t>
      </w:r>
      <w:r>
        <w:rPr>
          <w:b/>
        </w:rPr>
        <w:t>outer</w:t>
      </w:r>
      <w:r>
        <w:t xml:space="preserve"> side of the curved tube; a thin liquid film forms</w:t>
      </w:r>
    </w:p>
    <w:p>
      <w:pPr>
        <w:jc w:val="both"/>
      </w:pPr>
      <w:r>
        <w:t>circumferentially under combined gravity and centrifugal forces. Result: large</w:t>
      </w:r>
    </w:p>
    <w:p>
      <w:pPr>
        <w:jc w:val="both"/>
      </w:pPr>
      <w:r>
        <w:t>circumferential wall-temperature variation and inner-side film dryout. Their IR</w:t>
      </w:r>
    </w:p>
    <w:p>
      <w:pPr>
        <w:jc w:val="both"/>
      </w:pPr>
      <w:r>
        <w:t xml:space="preserve">measurements confirm </w:t>
      </w:r>
      <w:r>
        <w:rPr>
          <w:b/>
        </w:rPr>
        <w:t>inner-half wall temperature exceeds outer-half</w:t>
      </w:r>
      <w:r>
        <w:t>.</w:t>
      </w:r>
    </w:p>
    <w:p>
      <w:pPr>
        <w:jc w:val="both"/>
      </w:pPr>
      <w:r>
        <w:t xml:space="preserve">Observed trends </w:t>
      </w:r>
      <w:r>
        <w:rPr>
          <w:b/>
        </w:rPr>
        <w:t>[V]</w:t>
      </w:r>
      <w:r>
        <w:t>: CHF increases with mass flux; decreases with quality; for the</w:t>
      </w:r>
    </w:p>
    <w:p>
      <w:pPr>
        <w:jc w:val="both"/>
      </w:pPr>
      <w:r>
        <w:t>same quality, decreases with increasing tube diameter *and* coil diameter. **In the</w:t>
      </w:r>
    </w:p>
    <w:p>
      <w:pPr>
        <w:jc w:val="both"/>
      </w:pPr>
      <w:r>
        <w:t>high-quality region CHF in a helical coil exceeds that in a vertical straight tube** — by</w:t>
      </w:r>
    </w:p>
    <w:p>
      <w:pPr>
        <w:jc w:val="both"/>
      </w:pPr>
      <w:r>
        <w:t>up to ~4× versus a straight *horizontal* tube.</w:t>
      </w:r>
    </w:p>
    <w:p>
      <w:pPr>
        <w:jc w:val="both"/>
      </w:pPr>
      <w:r>
        <w:rPr>
          <w:b/>
        </w:rPr>
        <w:t>Merilo-type dimensionless correlation</w:t>
      </w:r>
      <w:r>
        <w:t xml:space="preserve"> (their Eq. 7) </w:t>
      </w:r>
      <w:r>
        <w:rPr>
          <w:b/>
        </w:rPr>
        <w:t>[V]</w:t>
      </w:r>
      <w:r>
        <w:t>:</w:t>
      </w:r>
    </w:p>
    <w:p>
      <w:pPr>
        <w:spacing w:line="240" w:lineRule="auto" w:after="200" w:before="120"/>
        <w:ind w:left="360"/>
      </w:pPr>
      <w:r>
        <w:rPr>
          <w:rFonts w:ascii="Consolas" w:hAnsi="Consolas"/>
          <w:sz w:val="18"/>
        </w:rPr>
        <w:t>q″/(G h_fg) = C · Re_l^{−0.34} · Z³ · Bo_d^{0.358} · (μ_l/μ_g)^{−2.18} · (L_h/d)^{−0.511}</w:t>
        <w:br/>
        <w:t xml:space="preserve">              · (ρ_l/ρ_g − 1)^{1.27} · (1 − x_i)^{1.64}                    (7)</w:t>
        <w:br/>
        <w:br/>
        <w:t>Re_l = G d/μ_l ,   Z = μ_l/(σ d ρ_l)^{0.5} ,   Bo_d = (ρ_l − ρ_g) g d²/σ ,</w:t>
        <w:br/>
        <w:t>x_i = c_p(T_i − T_sat)/h_fg</w:t>
      </w:r>
    </w:p>
    <w:p>
      <w:pPr>
        <w:jc w:val="both"/>
      </w:pPr>
      <w:r>
        <w:t xml:space="preserve">with the constant </w:t>
      </w:r>
      <w:r>
        <w:rPr>
          <w:rFonts w:ascii="Consolas" w:hAnsi="Consolas"/>
          <w:sz w:val="21"/>
        </w:rPr>
        <w:t>C</w:t>
      </w:r>
      <w:r>
        <w:t xml:space="preserve"> carrying </w:t>
      </w:r>
      <w:r>
        <w:rPr>
          <w:b/>
        </w:rPr>
        <w:t>all</w:t>
      </w:r>
      <w:r>
        <w:t xml:space="preserve"> the geometry/regime information </w:t>
      </w:r>
      <w:r>
        <w:rPr>
          <w:b/>
        </w:rPr>
        <w:t>[V]</w:t>
      </w:r>
      <w:r>
        <w:t>:</w:t>
      </w:r>
    </w:p>
    <w:p>
      <w:pPr>
        <w:spacing w:line="240" w:lineRule="auto" w:after="200" w:before="120"/>
        <w:ind w:left="360"/>
      </w:pPr>
      <w:r>
        <w:rPr>
          <w:rFonts w:ascii="Consolas" w:hAnsi="Consolas"/>
          <w:sz w:val="18"/>
        </w:rPr>
        <w:t>C = 575    Merilo — high-pressure horizontal tubes                          (8)</w:t>
        <w:br/>
        <w:t>C = 25.79  Baburajan et al. — low-pressure horizontal tubes                 (9)</w:t>
        <w:br/>
        <w:t>C = 110    Hardik &amp; Prabhu — low-pressure helical coils                     (10)</w:t>
      </w:r>
    </w:p>
    <w:p>
      <w:pPr>
        <w:jc w:val="both"/>
      </w:pPr>
      <w:r>
        <w:rPr>
          <w:b/>
        </w:rPr>
        <w:t>LUT-normalised form</w:t>
      </w:r>
      <w:r>
        <w:t xml:space="preserve"> — the most useful result for us </w:t>
      </w:r>
      <w:r>
        <w:rPr>
          <w:b/>
        </w:rPr>
        <w:t>[V]</w:t>
      </w:r>
      <w:r>
        <w:t>:</w:t>
      </w:r>
    </w:p>
    <w:p>
      <w:pPr>
        <w:spacing w:line="240" w:lineRule="auto" w:after="200" w:before="120"/>
        <w:ind w:left="360"/>
      </w:pPr>
      <w:r>
        <w:rPr>
          <w:rFonts w:ascii="Consolas" w:hAnsi="Consolas"/>
          <w:sz w:val="18"/>
        </w:rPr>
        <w:t>CHF_coil / CHF_LookUpTable = 1.637 x + 0.568                               (11)</w:t>
      </w:r>
    </w:p>
    <w:p>
      <w:pPr>
        <w:jc w:val="both"/>
      </w:pPr>
      <w:r>
        <w:t>90% of data within 25%; RMS deviation 17%; average deviation −1.6%.</w:t>
      </w:r>
    </w:p>
    <w:p>
      <w:pPr>
        <w:jc w:val="both"/>
      </w:pPr>
      <w:r>
        <w:t xml:space="preserve">Physical explanation given </w:t>
      </w:r>
      <w:r>
        <w:rPr>
          <w:b/>
        </w:rPr>
        <w:t>[V]</w:t>
      </w:r>
      <w:r>
        <w:t xml:space="preserve">: at </w:t>
      </w:r>
      <w:r>
        <w:rPr>
          <w:b/>
        </w:rPr>
        <w:t>low quality</w:t>
      </w:r>
      <w:r>
        <w:t>, gravity dominates and coil CHF is</w:t>
      </w:r>
    </w:p>
    <w:p>
      <w:pPr>
        <w:jc w:val="both"/>
      </w:pPr>
      <w:r>
        <w:t xml:space="preserve">*below* a vertical tube; at </w:t>
      </w:r>
      <w:r>
        <w:rPr>
          <w:b/>
        </w:rPr>
        <w:t>high quality</w:t>
      </w:r>
      <w:r>
        <w:t>, liquid-film redeposition by secondary flow</w:t>
      </w:r>
    </w:p>
    <w:p>
      <w:pPr>
        <w:jc w:val="both"/>
      </w:pPr>
      <w:r>
        <w:t xml:space="preserve">dominates and coil CHF *exceeds* the vertical tube — hence the positive slope in </w:t>
      </w:r>
      <w:r>
        <w:rPr>
          <w:rFonts w:ascii="Consolas" w:hAnsi="Consolas"/>
          <w:sz w:val="21"/>
        </w:rPr>
        <w:t>x</w:t>
      </w:r>
      <w:r>
        <w:t>.</w:t>
      </w:r>
    </w:p>
    <w:p>
      <w:pPr>
        <w:ind w:left="480" w:right="480"/>
      </w:pPr>
      <w:r>
        <w:rPr>
          <w:b/>
          <w:i/>
        </w:rPr>
        <w:t>Two lessons.</w:t>
      </w:r>
      <w:r>
        <w:rPr>
          <w:i/>
        </w:rPr>
        <w:t xml:space="preserve"> (a) Eq. (11) is a one-line, physically-explained transfer function from straight-tube physics to coil physics — exactly the kind of structure a generalised model should contain explicitly rather than relearn. (b) The </w:t>
      </w:r>
      <w:r>
        <w:rPr>
          <w:rFonts w:ascii="Consolas" w:hAnsi="Consolas"/>
          <w:i/>
          <w:sz w:val="21"/>
        </w:rPr>
        <w:t>C</w:t>
      </w:r>
      <w:r>
        <w:rPr>
          <w:i/>
        </w:rPr>
        <w:t>-only variation across Eqs. (8)–(10) shows the *dimensionless shape* transfers across geometry and pressure while only the *scale* changes. That is the strongest single piece of evidence in this document for the §9 architecture.</w:t>
      </w:r>
    </w:p>
    <w:p>
      <w:pPr>
        <w:jc w:val="both"/>
      </w:pPr>
      <w:r>
        <w:t xml:space="preserve">Our </w:t>
      </w:r>
      <w:r>
        <w:rPr>
          <w:rFonts w:ascii="Consolas" w:hAnsi="Consolas"/>
          <w:sz w:val="21"/>
        </w:rPr>
        <w:t>helical_coil_r123</w:t>
      </w:r>
      <w:r>
        <w:t xml:space="preserve"> source (257 rows) is the LOSO fold that went from R² = −409 to</w:t>
      </w:r>
    </w:p>
    <w:p>
      <w:pPr>
        <w:jc w:val="both"/>
      </w:pPr>
      <w:r>
        <w:t xml:space="preserve">+0.24 with physics normalisation. Adding curvature ratio </w:t>
      </w:r>
      <w:r>
        <w:rPr>
          <w:rFonts w:ascii="Consolas" w:hAnsi="Consolas"/>
          <w:sz w:val="21"/>
        </w:rPr>
        <w:t>d/D_coil</w:t>
      </w:r>
      <w:r>
        <w:t xml:space="preserve"> as a feature and</w:t>
      </w:r>
    </w:p>
    <w:p>
      <w:pPr>
        <w:jc w:val="both"/>
      </w:pPr>
      <w:r>
        <w:t>Eq. (11) as a prior is the obvious next step.</w:t>
      </w:r>
    </w:p>
    <w:p>
      <w:pPr>
        <w:pStyle w:val="Heading3"/>
      </w:pPr>
      <w:r>
        <w:rPr>
          <w:rFonts w:ascii="Times New Roman" w:hAnsi="Times New Roman"/>
          <w:color w:val="000000"/>
        </w:rPr>
        <w:t>6.2 Mini/micro-channels</w:t>
      </w:r>
    </w:p>
    <w:p>
      <w:pPr>
        <w:jc w:val="both"/>
      </w:pPr>
      <w:r>
        <w:t>Kandlikar's framework: surface tension, evaporation momentum, viscous shear and inertia</w:t>
      </w:r>
    </w:p>
    <w:p>
      <w:pPr>
        <w:jc w:val="both"/>
      </w:pPr>
      <w:r>
        <w:t xml:space="preserve">govern the flow patterns and CHF. Two new groups </w:t>
      </w:r>
      <w:r>
        <w:rPr>
          <w:b/>
        </w:rPr>
        <w:t>[S]</w:t>
      </w:r>
      <w:r>
        <w:t xml:space="preserve"> (structure from secondary</w:t>
      </w:r>
    </w:p>
    <w:p>
      <w:pPr>
        <w:jc w:val="both"/>
      </w:pPr>
      <w:r>
        <w:t xml:space="preserve">sources; </w:t>
      </w:r>
      <w:r>
        <w:rPr>
          <w:b/>
        </w:rPr>
        <w:t>verify against Kandlikar 2001/2004 before use</w:t>
      </w:r>
      <w:r>
        <w:t>):</w:t>
      </w:r>
    </w:p>
    <w:p>
      <w:pPr>
        <w:spacing w:line="240" w:lineRule="auto" w:after="200" w:before="120"/>
        <w:ind w:left="360"/>
      </w:pPr>
      <w:r>
        <w:rPr>
          <w:rFonts w:ascii="Consolas" w:hAnsi="Consolas"/>
          <w:sz w:val="18"/>
        </w:rPr>
        <w:t>K₁ = (q″/(G h_fg))² (ρ_f/ρ_g)      — evaporation momentum / inertia</w:t>
        <w:br/>
        <w:t>K₂ = (q″/h_fg)² D/(ρ_g σ)          — evaporation momentum / surface tension</w:t>
        <w:br/>
        <w:t>K₃ = ...                            — evaporation momentum / viscous</w:t>
      </w:r>
    </w:p>
    <w:p>
      <w:pPr>
        <w:jc w:val="both"/>
      </w:pPr>
      <w:r>
        <w:t xml:space="preserve">with </w:t>
      </w:r>
      <w:r>
        <w:rPr>
          <w:rFonts w:ascii="Consolas" w:hAnsi="Consolas"/>
          <w:sz w:val="21"/>
        </w:rPr>
        <w:t>K₂/K₁ = We</w:t>
      </w:r>
      <w:r>
        <w:t xml:space="preserve">, </w:t>
      </w:r>
      <w:r>
        <w:rPr>
          <w:rFonts w:ascii="Consolas" w:hAnsi="Consolas"/>
          <w:sz w:val="21"/>
        </w:rPr>
        <w:t>K₃/K₁ = Re</w:t>
      </w:r>
      <w:r>
        <w:t xml:space="preserve">, </w:t>
      </w:r>
      <w:r>
        <w:rPr>
          <w:rFonts w:ascii="Consolas" w:hAnsi="Consolas"/>
          <w:sz w:val="21"/>
        </w:rPr>
        <w:t>K₂/K₃ = Ca</w:t>
      </w:r>
      <w:r>
        <w:t xml:space="preserve">. A high </w:t>
      </w:r>
      <w:r>
        <w:rPr>
          <w:rFonts w:ascii="Consolas" w:hAnsi="Consolas"/>
          <w:sz w:val="21"/>
        </w:rPr>
        <w:t>K₁</w:t>
      </w:r>
      <w:r>
        <w:t xml:space="preserve"> means evaporation momentum</w:t>
      </w:r>
    </w:p>
    <w:p>
      <w:pPr>
        <w:jc w:val="both"/>
      </w:pPr>
      <w:r>
        <w:t>dominates and will alter interface motion.</w:t>
      </w:r>
    </w:p>
    <w:p>
      <w:pPr>
        <w:jc w:val="both"/>
      </w:pPr>
      <w:r>
        <w:t>Kandlikar's physical picture for CHF: a large bubble on the surface subject to</w:t>
      </w:r>
    </w:p>
    <w:p>
      <w:pPr>
        <w:jc w:val="both"/>
      </w:pPr>
      <w:r>
        <w:rPr>
          <w:b/>
        </w:rPr>
        <w:t>momentum force</w:t>
      </w:r>
      <w:r>
        <w:t xml:space="preserve"> (expanding), opposed by </w:t>
      </w:r>
      <w:r>
        <w:rPr>
          <w:b/>
        </w:rPr>
        <w:t>surface tension and hydrostatic forces</w:t>
      </w:r>
      <w:r>
        <w:t>;</w:t>
      </w:r>
    </w:p>
    <w:p>
      <w:pPr>
        <w:jc w:val="both"/>
      </w:pPr>
      <w:r>
        <w:t>when the balance fails the bubble advances and covers the surface → CHF. This is the same</w:t>
      </w:r>
    </w:p>
    <w:p>
      <w:pPr>
        <w:jc w:val="both"/>
      </w:pPr>
      <w:r>
        <w:t>force balance as his pool-boiling model (§4.3).</w:t>
      </w:r>
    </w:p>
    <w:p>
      <w:pPr>
        <w:pStyle w:val="Heading3"/>
      </w:pPr>
      <w:r>
        <w:rPr>
          <w:rFonts w:ascii="Times New Roman" w:hAnsi="Times New Roman"/>
          <w:color w:val="000000"/>
        </w:rPr>
        <w:t>6.3 Pin fins / structured pool-boiling surfaces</w:t>
      </w:r>
    </w:p>
    <w:p>
      <w:pPr>
        <w:jc w:val="both"/>
      </w:pPr>
      <w:r>
        <w:t xml:space="preserve">No closed-form correlation obtained. Our </w:t>
      </w:r>
      <w:r>
        <w:rPr>
          <w:rFonts w:ascii="Consolas" w:hAnsi="Consolas"/>
          <w:sz w:val="21"/>
        </w:rPr>
        <w:t>pinfin_chf_water_fc72</w:t>
      </w:r>
      <w:r>
        <w:t xml:space="preserve"> source (175 rows) carries</w:t>
      </w:r>
    </w:p>
    <w:p>
      <w:pPr>
        <w:jc w:val="both"/>
      </w:pPr>
      <w:r>
        <w:rPr>
          <w:rFonts w:ascii="Consolas" w:hAnsi="Consolas"/>
          <w:sz w:val="21"/>
        </w:rPr>
        <w:t>fin_shape</w:t>
      </w:r>
      <w:r>
        <w:t xml:space="preserve">, </w:t>
      </w:r>
      <w:r>
        <w:rPr>
          <w:rFonts w:ascii="Consolas" w:hAnsi="Consolas"/>
          <w:sz w:val="21"/>
        </w:rPr>
        <w:t>fin_array</w:t>
      </w:r>
      <w:r>
        <w:t xml:space="preserve">, </w:t>
      </w:r>
      <w:r>
        <w:rPr>
          <w:rFonts w:ascii="Consolas" w:hAnsi="Consolas"/>
          <w:sz w:val="21"/>
        </w:rPr>
        <w:t>fin_width_um</w:t>
      </w:r>
      <w:r>
        <w:t xml:space="preserve">, </w:t>
      </w:r>
      <w:r>
        <w:rPr>
          <w:rFonts w:ascii="Consolas" w:hAnsi="Consolas"/>
          <w:sz w:val="21"/>
        </w:rPr>
        <w:t>fin_height_um</w:t>
      </w:r>
      <w:r>
        <w:t xml:space="preserve">, </w:t>
      </w:r>
      <w:r>
        <w:rPr>
          <w:rFonts w:ascii="Consolas" w:hAnsi="Consolas"/>
          <w:sz w:val="21"/>
        </w:rPr>
        <w:t>fin_spacing_um</w:t>
      </w:r>
      <w:r>
        <w:t xml:space="preserve">, </w:t>
      </w:r>
      <w:r>
        <w:rPr>
          <w:rFonts w:ascii="Consolas" w:hAnsi="Consolas"/>
          <w:sz w:val="21"/>
        </w:rPr>
        <w:t>coverage</w:t>
      </w:r>
      <w:r>
        <w:t>,</w:t>
      </w:r>
    </w:p>
    <w:p>
      <w:pPr>
        <w:jc w:val="both"/>
      </w:pPr>
      <w:r>
        <w:rPr>
          <w:rFonts w:ascii="Consolas" w:hAnsi="Consolas"/>
          <w:sz w:val="21"/>
        </w:rPr>
        <w:t>porosity</w:t>
      </w:r>
      <w:r>
        <w:t xml:space="preserve">, </w:t>
      </w:r>
      <w:r>
        <w:rPr>
          <w:rFonts w:ascii="Consolas" w:hAnsi="Consolas"/>
          <w:sz w:val="21"/>
        </w:rPr>
        <w:t>mbl_lateral_um</w:t>
      </w:r>
      <w:r>
        <w:t xml:space="preserve">, </w:t>
      </w:r>
      <w:r>
        <w:rPr>
          <w:rFonts w:ascii="Consolas" w:hAnsi="Consolas"/>
          <w:sz w:val="21"/>
        </w:rPr>
        <w:t>mbl_total_um</w:t>
      </w:r>
      <w:r>
        <w:t xml:space="preserve"> — these are </w:t>
      </w:r>
      <w:r>
        <w:rPr>
          <w:b/>
        </w:rPr>
        <w:t>wickability geometry</w:t>
      </w:r>
      <w:r>
        <w:t xml:space="preserve"> (§4.4)</w:t>
      </w:r>
    </w:p>
    <w:p>
      <w:pPr>
        <w:jc w:val="both"/>
      </w:pPr>
      <w:r>
        <w:t>and should be modelled through a wicking/capillary framework, plus the finite-heater-size</w:t>
      </w:r>
    </w:p>
    <w:p>
      <w:pPr>
        <w:jc w:val="both"/>
      </w:pPr>
      <w:r>
        <w:t>correction of §3.3, rather than as generic tabular features. This is the LOSO fold still</w:t>
      </w:r>
    </w:p>
    <w:p>
      <w:pPr>
        <w:jc w:val="both"/>
      </w:pPr>
      <w:r>
        <w:t>sitting at R² = −0.04.</w:t>
      </w:r>
    </w:p>
    <w:p>
      <w:pPr>
        <w:jc w:val="center"/>
      </w:pPr>
      <w:r>
        <w:rPr>
          <w:sz w:val="20"/>
        </w:rPr>
        <w:t>• • •</w:t>
      </w:r>
    </w:p>
    <w:p>
      <w:pPr>
        <w:pStyle w:val="Heading2"/>
      </w:pPr>
      <w:r>
        <w:rPr>
          <w:rFonts w:ascii="Times New Roman" w:hAnsi="Times New Roman"/>
          <w:color w:val="000000"/>
        </w:rPr>
        <w:t>7. What ML has and hasn't done — the gap, sourced</w:t>
      </w:r>
    </w:p>
    <w:p>
      <w:pPr>
        <w:jc w:val="both"/>
      </w:pPr>
      <w:r>
        <w:t>For the outline's §"Existing ML-based CHF prediction" and §"Research gap".</w:t>
      </w:r>
    </w:p>
    <w:p>
      <w:pPr>
        <w:jc w:val="both"/>
      </w:pPr>
      <w:r>
        <w:rPr>
          <w:b/>
        </w:rPr>
        <w:t>The benchmark context.</w:t>
      </w:r>
      <w:r>
        <w:t xml:space="preserve"> The OECD/NEA established a Task Force on AI/ML for Scientific</w:t>
      </w:r>
    </w:p>
    <w:p>
      <w:pPr>
        <w:jc w:val="both"/>
      </w:pPr>
      <w:r>
        <w:t xml:space="preserve">Computing in Nuclear Engineering (2022), whose </w:t>
      </w:r>
      <w:r>
        <w:rPr>
          <w:b/>
        </w:rPr>
        <w:t>Phase 1 CHF exercise</w:t>
      </w:r>
      <w:r>
        <w:t xml:space="preserve"> (NEA/WKP(2023)1,</w:t>
      </w:r>
    </w:p>
    <w:p>
      <w:pPr>
        <w:jc w:val="both"/>
      </w:pPr>
      <w:r>
        <w:t>Le Corre, Delipei, Wu, Zhao) covers regression, classification, VVUQ, dimensionality</w:t>
      </w:r>
    </w:p>
    <w:p>
      <w:pPr>
        <w:jc w:val="both"/>
      </w:pPr>
      <w:r>
        <w:t xml:space="preserve">reduction and anomaly detection, built on a US NRC-provided CHF database. </w:t>
      </w:r>
      <w:r>
        <w:rPr>
          <w:b/>
        </w:rPr>
        <w:t>[V]</w:t>
      </w:r>
      <w:r>
        <w:t xml:space="preserve"> The</w:t>
      </w:r>
    </w:p>
    <w:p>
      <w:pPr>
        <w:jc w:val="both"/>
      </w:pPr>
      <w:r>
        <w:t xml:space="preserve">24,579-point NRC database at the core of it is the same </w:t>
      </w:r>
      <w:r>
        <w:rPr>
          <w:rFonts w:ascii="Consolas" w:hAnsi="Consolas"/>
          <w:sz w:val="21"/>
        </w:rPr>
        <w:t>nrc_groeneveld_24579pt</w:t>
      </w:r>
      <w:r>
        <w:t xml:space="preserve"> source</w:t>
      </w:r>
    </w:p>
    <w:p>
      <w:pPr>
        <w:jc w:val="both"/>
      </w:pPr>
      <w:r>
        <w:t>that is 86% of our merged dataset.</w:t>
      </w:r>
    </w:p>
    <w:p>
      <w:pPr>
        <w:jc w:val="both"/>
      </w:pPr>
      <w:r>
        <w:rPr>
          <w:b/>
        </w:rPr>
        <w:t>The gap, in the words of the primary sources:</w:t>
      </w:r>
    </w:p>
    <w:p>
      <w:pPr>
        <w:jc w:val="both"/>
      </w:pPr>
      <w:r>
        <w:t xml:space="preserve">Zhao et al. (2019), MIT/ORNL </w:t>
      </w:r>
      <w:r>
        <w:rPr>
          <w:b/>
        </w:rPr>
        <w:t>[V]</w:t>
      </w:r>
      <w:r>
        <w:t>:</w:t>
      </w:r>
    </w:p>
    <w:p>
      <w:pPr>
        <w:pStyle w:val="ListBullet"/>
        <w:spacing w:line="360" w:lineRule="auto"/>
      </w:pPr>
      <w:r>
        <w:t xml:space="preserve">Standalone ML tools "can be prone to undesired, </w:t>
      </w:r>
      <w:r>
        <w:rPr>
          <w:b/>
        </w:rPr>
        <w:t>unphysical solutions</w:t>
      </w:r>
      <w:r>
        <w:t xml:space="preserve"> due to their</w:t>
      </w:r>
    </w:p>
    <w:p>
      <w:pPr>
        <w:jc w:val="both"/>
      </w:pPr>
      <w:r>
        <w:t>purely data-driven nature and 'black-box' feature."</w:t>
      </w:r>
    </w:p>
    <w:p>
      <w:pPr>
        <w:pStyle w:val="ListBullet"/>
        <w:spacing w:line="360" w:lineRule="auto"/>
      </w:pPr>
      <w:r>
        <w:t>Of prior CHF-ML publications: none distinguished DNB from dryout; **none employed</w:t>
      </w:r>
    </w:p>
    <w:p>
      <w:pPr>
        <w:jc w:val="both"/>
      </w:pPr>
      <w:r>
        <w:t>cross-validation** to assess architectures; none evaluated hyperparameter sensitivity or</w:t>
      </w:r>
    </w:p>
    <w:p>
      <w:pPr>
        <w:jc w:val="both"/>
      </w:pPr>
      <w:r>
        <w:t>discussed regularisation.</w:t>
      </w:r>
    </w:p>
    <w:p>
      <w:pPr>
        <w:jc w:val="both"/>
      </w:pPr>
      <w:r>
        <w:t xml:space="preserve">Their </w:t>
      </w:r>
      <w:r>
        <w:rPr>
          <w:b/>
        </w:rPr>
        <w:t>hybrid ("grey-box") framework</w:t>
      </w:r>
      <w:r>
        <w:t xml:space="preserve">, in two flavours </w:t>
      </w:r>
      <w:r>
        <w:rPr>
          <w:b/>
        </w:rPr>
        <w:t>[V]</w:t>
      </w:r>
      <w:r>
        <w:t>:</w:t>
      </w:r>
    </w:p>
    <w:p>
      <w:pPr>
        <w:pStyle w:val="ListBullet"/>
        <w:spacing w:line="360" w:lineRule="auto"/>
      </w:pPr>
      <w:r>
        <w:rPr>
          <w:b/>
        </w:rPr>
        <w:t>Series:</w:t>
      </w:r>
      <w:r>
        <w:t xml:space="preserve"> ML estimates intermediate variables that are closures in a physics model</w:t>
      </w:r>
    </w:p>
    <w:p>
      <w:pPr>
        <w:jc w:val="both"/>
      </w:pPr>
      <w:r>
        <w:t xml:space="preserve">(e.g. </w:t>
      </w:r>
      <w:r>
        <w:rPr>
          <w:rFonts w:ascii="Consolas" w:hAnsi="Consolas"/>
          <w:sz w:val="21"/>
        </w:rPr>
        <w:t>δ</w:t>
      </w:r>
      <w:r>
        <w:t xml:space="preserve">, </w:t>
      </w:r>
      <w:r>
        <w:rPr>
          <w:rFonts w:ascii="Consolas" w:hAnsi="Consolas"/>
          <w:sz w:val="21"/>
        </w:rPr>
        <w:t>U_B</w:t>
      </w:r>
      <w:r>
        <w:t xml:space="preserve">, </w:t>
      </w:r>
      <w:r>
        <w:rPr>
          <w:rFonts w:ascii="Consolas" w:hAnsi="Consolas"/>
          <w:sz w:val="21"/>
        </w:rPr>
        <w:t>L_B</w:t>
      </w:r>
      <w:r>
        <w:t xml:space="preserve"> in the sublayer-dryout model).</w:t>
      </w:r>
    </w:p>
    <w:p>
      <w:pPr>
        <w:pStyle w:val="ListBullet"/>
        <w:spacing w:line="360" w:lineRule="auto"/>
      </w:pPr>
      <w:r>
        <w:rPr>
          <w:b/>
        </w:rPr>
        <w:t>Parallel</w:t>
      </w:r>
      <w:r>
        <w:t xml:space="preserve"> (their choice, = physics-informed ML-aided): a fixed-structure prior model</w:t>
      </w:r>
    </w:p>
    <w:p>
      <w:pPr>
        <w:jc w:val="both"/>
      </w:pPr>
      <w:r>
        <w:rPr>
          <w:rFonts w:ascii="Consolas" w:hAnsi="Consolas"/>
          <w:sz w:val="21"/>
        </w:rPr>
        <w:t>ŷ_p = f(x)</w:t>
      </w:r>
      <w:r>
        <w:t xml:space="preserve"> produces a baseline; ML is trained on the </w:t>
      </w:r>
      <w:r>
        <w:rPr>
          <w:b/>
        </w:rPr>
        <w:t>residual</w:t>
      </w:r>
      <w:r>
        <w:t xml:space="preserve"> </w:t>
      </w:r>
      <w:r>
        <w:rPr>
          <w:rFonts w:ascii="Consolas" w:hAnsi="Consolas"/>
          <w:sz w:val="21"/>
        </w:rPr>
        <w:t>ε = y − ŷ_p</w:t>
      </w:r>
      <w:r>
        <w:t>;</w:t>
      </w:r>
    </w:p>
    <w:p>
      <w:pPr>
        <w:jc w:val="both"/>
      </w:pPr>
      <w:r>
        <w:t xml:space="preserve">prediction is </w:t>
      </w:r>
      <w:r>
        <w:rPr>
          <w:rFonts w:ascii="Consolas" w:hAnsi="Consolas"/>
          <w:sz w:val="21"/>
        </w:rPr>
        <w:t>ŷ_h = ŷ_p + ε̂_m</w:t>
      </w:r>
      <w:r>
        <w:t>.</w:t>
      </w:r>
    </w:p>
    <w:p>
      <w:pPr>
        <w:jc w:val="both"/>
      </w:pPr>
      <w:r>
        <w:t xml:space="preserve">Their feature vector is at least six variables: </w:t>
      </w:r>
      <w:r>
        <w:rPr>
          <w:rFonts w:ascii="Consolas" w:hAnsi="Consolas"/>
          <w:sz w:val="21"/>
        </w:rPr>
        <w:t>P, G, x_e, D_e, D_h, L_h</w:t>
      </w:r>
      <w:r>
        <w:t xml:space="preserve"> — note </w:t>
      </w:r>
      <w:r>
        <w:rPr>
          <w:b/>
        </w:rPr>
        <w:t>both</w:t>
      </w:r>
    </w:p>
    <w:p>
      <w:pPr>
        <w:jc w:val="both"/>
      </w:pPr>
      <w:r>
        <w:t xml:space="preserve">equivalent and heated diameter. Metric </w:t>
      </w:r>
      <w:r>
        <w:rPr>
          <w:b/>
        </w:rPr>
        <w:t>[V]</w:t>
      </w:r>
      <w:r>
        <w:t>:</w:t>
      </w:r>
    </w:p>
    <w:p>
      <w:pPr>
        <w:spacing w:line="240" w:lineRule="auto" w:after="200" w:before="120"/>
        <w:ind w:left="360"/>
      </w:pPr>
      <w:r>
        <w:rPr>
          <w:rFonts w:ascii="Consolas" w:hAnsi="Consolas"/>
          <w:sz w:val="18"/>
        </w:rPr>
        <w:t>rRMSE = sqrt( (1/n) Σ ( (y⁽ⁱ⁾ − ŷ_h⁽ⁱ⁾)/y⁽ⁱ⁾ )² )                          (1)</w:t>
      </w:r>
    </w:p>
    <w:p>
      <w:pPr>
        <w:jc w:val="both"/>
      </w:pPr>
      <w:r>
        <w:t>Prior models used: Groeneveld 2006 LUT, and the mechanistic Liu model. They also propose</w:t>
      </w:r>
    </w:p>
    <w:p>
      <w:pPr>
        <w:jc w:val="both"/>
      </w:pPr>
      <w:r>
        <w:rPr>
          <w:b/>
        </w:rPr>
        <w:t>window-type extrapolation mapping</w:t>
      </w:r>
      <w:r>
        <w:t xml:space="preserve"> to decide where new (expensive) experiments are</w:t>
      </w:r>
    </w:p>
    <w:p>
      <w:pPr>
        <w:jc w:val="both"/>
      </w:pPr>
      <w:r>
        <w:t>actually needed.</w:t>
      </w:r>
    </w:p>
    <w:p>
      <w:pPr>
        <w:jc w:val="both"/>
      </w:pPr>
      <w:r>
        <w:t xml:space="preserve">For non-circular channels, they note **heated diameter </w:t>
      </w:r>
      <w:r>
        <w:rPr>
          <w:rFonts w:ascii="Consolas" w:hAnsi="Consolas"/>
          <w:sz w:val="21"/>
        </w:rPr>
        <w:t>D_h</w:t>
      </w:r>
      <w:r>
        <w:t xml:space="preserve"> rather than hydraulic</w:t>
      </w:r>
    </w:p>
    <w:p>
      <w:pPr>
        <w:jc w:val="both"/>
      </w:pPr>
      <w:r>
        <w:t xml:space="preserve">diameter </w:t>
      </w:r>
      <w:r>
        <w:rPr>
          <w:rFonts w:ascii="Consolas" w:hAnsi="Consolas"/>
          <w:sz w:val="21"/>
        </w:rPr>
        <w:t>D_e</w:t>
      </w:r>
      <w:r>
        <w:t>** is recommended for the diameter correction, "as the former feature better</w:t>
      </w:r>
    </w:p>
    <w:p>
      <w:pPr>
        <w:jc w:val="both"/>
      </w:pPr>
      <w:r>
        <w:t xml:space="preserve">describes vapor formation and development in subcooled and low-quality flow." </w:t>
      </w:r>
      <w:r>
        <w:rPr>
          <w:b/>
        </w:rPr>
        <w:t>[V]</w:t>
      </w:r>
    </w:p>
    <w:p>
      <w:pPr>
        <w:ind w:left="480" w:right="480"/>
      </w:pPr>
      <w:r>
        <w:rPr>
          <w:b/>
          <w:i/>
        </w:rPr>
        <w:t>Two direct implications for our pipeline.</w:t>
      </w:r>
      <w:r>
        <w:rPr>
          <w:i/>
        </w:rPr>
        <w:t xml:space="preserve"> (a) We use </w:t>
      </w:r>
      <w:r>
        <w:rPr>
          <w:rFonts w:ascii="Consolas" w:hAnsi="Consolas"/>
          <w:i/>
          <w:sz w:val="21"/>
        </w:rPr>
        <w:t>diameter_mm</w:t>
      </w:r>
      <w:r>
        <w:rPr>
          <w:i/>
        </w:rPr>
        <w:t xml:space="preserve"> with no </w:t>
      </w:r>
      <w:r>
        <w:rPr>
          <w:rFonts w:ascii="Consolas" w:hAnsi="Consolas"/>
          <w:i/>
          <w:sz w:val="21"/>
        </w:rPr>
        <w:t>D_h</w:t>
      </w:r>
      <w:r>
        <w:rPr>
          <w:i/>
        </w:rPr>
        <w:t>/</w:t>
      </w:r>
      <w:r>
        <w:rPr>
          <w:rFonts w:ascii="Consolas" w:hAnsi="Consolas"/>
          <w:i/>
          <w:sz w:val="21"/>
        </w:rPr>
        <w:t>D_e</w:t>
      </w:r>
      <w:r>
        <w:rPr>
          <w:i/>
        </w:rPr>
        <w:t xml:space="preserve"> distinction — for the annulus (378 rows) and plate (48 rows) families this is a known, sourced modelling error. (b) Our repo already implements the *parallel* hybrid (residual learning on Biasi/Zuber) and found it fails on Split C because "the formula's error changed shape completely" outside the training range. That negative result is real and worth publishing — and it argues for *multiplicative* rather than *additive* residuals (§9), which is what the unified pipeline's </w:t>
      </w:r>
      <w:r>
        <w:rPr>
          <w:rFonts w:ascii="Consolas" w:hAnsi="Consolas"/>
          <w:i/>
          <w:sz w:val="21"/>
        </w:rPr>
        <w:t>log(CHF/baseline)</w:t>
      </w:r>
      <w:r>
        <w:rPr>
          <w:i/>
        </w:rPr>
        <w:t xml:space="preserve"> target already does successfully.</w:t>
      </w:r>
    </w:p>
    <w:p>
      <w:pPr>
        <w:jc w:val="center"/>
      </w:pPr>
      <w:r>
        <w:rPr>
          <w:sz w:val="20"/>
        </w:rPr>
        <w:t>• • •</w:t>
      </w:r>
    </w:p>
    <w:p>
      <w:pPr>
        <w:pStyle w:val="Heading2"/>
      </w:pPr>
      <w:r>
        <w:rPr>
          <w:rFonts w:ascii="Times New Roman" w:hAnsi="Times New Roman"/>
          <w:color w:val="000000"/>
        </w:rPr>
        <w:t>8. Physical constraints any admissible CHF model must satisfy</w:t>
      </w:r>
    </w:p>
    <w:p>
      <w:pPr>
        <w:jc w:val="both"/>
      </w:pPr>
      <w:r>
        <w:rPr>
          <w:b/>
        </w:rPr>
        <w:t>This is the operational payload of the document.</w:t>
      </w:r>
      <w:r>
        <w:t xml:space="preserve"> Each item is a testable assertion</w:t>
      </w:r>
    </w:p>
    <w:p>
      <w:pPr>
        <w:jc w:val="both"/>
      </w:pPr>
      <w:r>
        <w:t>derived from the physics above, usable as (a) a validation check, (b) a training penalty,</w:t>
      </w:r>
    </w:p>
    <w:p>
      <w:pPr>
        <w:jc w:val="both"/>
      </w:pPr>
      <w:r>
        <w:t>or (c) an architectural constraint. Nothing here requires new data.</w:t>
      </w:r>
    </w:p>
    <w:p>
      <w:pPr>
        <w:pStyle w:val="Heading3"/>
      </w:pPr>
      <w:r>
        <w:rPr>
          <w:rFonts w:ascii="Times New Roman" w:hAnsi="Times New Roman"/>
          <w:color w:val="000000"/>
        </w:rPr>
        <w:t>8.1 Hard constraints (violation = the model is wrong)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w:t>
            </w:r>
          </w:p>
        </w:tc>
        <w:tc>
          <w:tcPr>
            <w:tcW w:type="dxa" w:w="2880"/>
          </w:tcPr>
          <w:p>
            <w:pPr>
              <w:spacing w:line="240" w:lineRule="auto" w:after="40"/>
            </w:pPr>
            <w:r>
              <w:rPr>
                <w:b/>
                <w:sz w:val="20"/>
              </w:rPr>
            </w:r>
            <w:r>
              <w:rPr>
                <w:b/>
                <w:sz w:val="20"/>
              </w:rPr>
              <w:t>Constraint</w:t>
            </w:r>
          </w:p>
        </w:tc>
        <w:tc>
          <w:tcPr>
            <w:tcW w:type="dxa" w:w="2880"/>
          </w:tcPr>
          <w:p>
            <w:pPr>
              <w:spacing w:line="240" w:lineRule="auto" w:after="40"/>
            </w:pPr>
            <w:r>
              <w:rPr>
                <w:b/>
                <w:sz w:val="20"/>
              </w:rPr>
            </w:r>
            <w:r>
              <w:rPr>
                <w:b/>
                <w:sz w:val="20"/>
              </w:rPr>
              <w:t>Source</w:t>
            </w:r>
          </w:p>
        </w:tc>
      </w:tr>
      <w:tr>
        <w:tc>
          <w:tcPr>
            <w:tcW w:type="dxa" w:w="2880"/>
          </w:tcPr>
          <w:p>
            <w:pPr>
              <w:spacing w:line="240" w:lineRule="auto" w:after="40"/>
            </w:pPr>
            <w:r>
              <w:rPr>
                <w:sz w:val="20"/>
              </w:rPr>
            </w:r>
            <w:r>
              <w:rPr>
                <w:sz w:val="20"/>
              </w:rPr>
              <w:t>C1</w:t>
            </w:r>
          </w:p>
        </w:tc>
        <w:tc>
          <w:tcPr>
            <w:tcW w:type="dxa" w:w="2880"/>
          </w:tcPr>
          <w:p>
            <w:pPr>
              <w:spacing w:line="240" w:lineRule="auto" w:after="40"/>
            </w:pPr>
            <w:r>
              <w:rPr>
                <w:sz w:val="20"/>
              </w:rPr>
            </w:r>
            <w:r>
              <w:rPr>
                <w:rFonts w:ascii="Consolas" w:hAnsi="Consolas"/>
                <w:sz w:val="20"/>
              </w:rPr>
              <w:t>CHF &gt; 0</w:t>
            </w:r>
            <w:r>
              <w:rPr>
                <w:sz w:val="20"/>
              </w:rPr>
              <w:t xml:space="preserve"> strictly, everywhere in the domain.</w:t>
            </w:r>
          </w:p>
        </w:tc>
        <w:tc>
          <w:tcPr>
            <w:tcW w:type="dxa" w:w="2880"/>
          </w:tcPr>
          <w:p>
            <w:pPr>
              <w:spacing w:line="240" w:lineRule="auto" w:after="40"/>
            </w:pPr>
            <w:r>
              <w:rPr>
                <w:sz w:val="20"/>
              </w:rPr>
            </w:r>
            <w:r>
              <w:rPr>
                <w:sz w:val="20"/>
              </w:rPr>
              <w:t>definition</w:t>
            </w:r>
          </w:p>
        </w:tc>
      </w:tr>
      <w:tr>
        <w:tc>
          <w:tcPr>
            <w:tcW w:type="dxa" w:w="2880"/>
          </w:tcPr>
          <w:p>
            <w:pPr>
              <w:spacing w:line="240" w:lineRule="auto" w:after="40"/>
            </w:pPr>
            <w:r>
              <w:rPr>
                <w:sz w:val="20"/>
              </w:rPr>
            </w:r>
            <w:r>
              <w:rPr>
                <w:sz w:val="20"/>
              </w:rPr>
              <w:t>C2</w:t>
            </w:r>
          </w:p>
        </w:tc>
        <w:tc>
          <w:tcPr>
            <w:tcW w:type="dxa" w:w="2880"/>
          </w:tcPr>
          <w:p>
            <w:pPr>
              <w:spacing w:line="240" w:lineRule="auto" w:after="40"/>
            </w:pPr>
            <w:r>
              <w:rPr>
                <w:sz w:val="20"/>
              </w:rPr>
            </w:r>
            <w:r>
              <w:rPr>
                <w:b/>
                <w:sz w:val="20"/>
              </w:rPr>
              <w:t>Energy balance:</w:t>
            </w:r>
            <w:r>
              <w:rPr>
                <w:sz w:val="20"/>
              </w:rPr>
              <w:t xml:space="preserve"> </w:t>
            </w:r>
            <w:r>
              <w:rPr>
                <w:rFonts w:ascii="Consolas" w:hAnsi="Consolas"/>
                <w:sz w:val="20"/>
              </w:rPr>
              <w:t>x_o = x_i* + 4·Bo·(L/D)</w:t>
            </w:r>
            <w:r>
              <w:rPr>
                <w:sz w:val="20"/>
              </w:rPr>
              <w:t xml:space="preserve"> must hold exactly. </w:t>
            </w:r>
            <w:r>
              <w:rPr>
                <w:rFonts w:ascii="Consolas" w:hAnsi="Consolas"/>
                <w:sz w:val="20"/>
              </w:rPr>
              <w:t>x</w:t>
            </w:r>
            <w:r>
              <w:rPr>
                <w:sz w:val="20"/>
              </w:rPr>
              <w:t xml:space="preserve">, </w:t>
            </w:r>
            <w:r>
              <w:rPr>
                <w:rFonts w:ascii="Consolas" w:hAnsi="Consolas"/>
                <w:sz w:val="20"/>
              </w:rPr>
              <w:t>L/D</w:t>
            </w:r>
            <w:r>
              <w:rPr>
                <w:sz w:val="20"/>
              </w:rPr>
              <w:t xml:space="preserve">, </w:t>
            </w:r>
            <w:r>
              <w:rPr>
                <w:rFonts w:ascii="Consolas" w:hAnsi="Consolas"/>
                <w:sz w:val="20"/>
              </w:rPr>
              <w:t>G</w:t>
            </w:r>
            <w:r>
              <w:rPr>
                <w:sz w:val="20"/>
              </w:rPr>
              <w:t xml:space="preserve">, </w:t>
            </w:r>
            <w:r>
              <w:rPr>
                <w:rFonts w:ascii="Consolas" w:hAnsi="Consolas"/>
                <w:sz w:val="20"/>
              </w:rPr>
              <w:t>q″</w:t>
            </w:r>
            <w:r>
              <w:rPr>
                <w:sz w:val="20"/>
              </w:rPr>
              <w:t xml:space="preserve"> are not independent.</w:t>
            </w:r>
          </w:p>
        </w:tc>
        <w:tc>
          <w:tcPr>
            <w:tcW w:type="dxa" w:w="2880"/>
          </w:tcPr>
          <w:p>
            <w:pPr>
              <w:spacing w:line="240" w:lineRule="auto" w:after="40"/>
            </w:pPr>
            <w:r>
              <w:rPr>
                <w:sz w:val="20"/>
              </w:rPr>
            </w:r>
            <w:r>
              <w:rPr>
                <w:sz w:val="20"/>
              </w:rPr>
              <w:t xml:space="preserve">§1.5 </w:t>
            </w:r>
            <w:r>
              <w:rPr>
                <w:b/>
                <w:sz w:val="20"/>
              </w:rPr>
              <w:t>[V]</w:t>
            </w:r>
          </w:p>
        </w:tc>
      </w:tr>
      <w:tr>
        <w:tc>
          <w:tcPr>
            <w:tcW w:type="dxa" w:w="2880"/>
          </w:tcPr>
          <w:p>
            <w:pPr>
              <w:spacing w:line="240" w:lineRule="auto" w:after="40"/>
            </w:pPr>
            <w:r>
              <w:rPr>
                <w:sz w:val="20"/>
              </w:rPr>
            </w:r>
            <w:r>
              <w:rPr>
                <w:sz w:val="20"/>
              </w:rPr>
              <w:t>C3</w:t>
            </w:r>
          </w:p>
        </w:tc>
        <w:tc>
          <w:tcPr>
            <w:tcW w:type="dxa" w:w="2880"/>
          </w:tcPr>
          <w:p>
            <w:pPr>
              <w:spacing w:line="240" w:lineRule="auto" w:after="40"/>
            </w:pPr>
            <w:r>
              <w:rPr>
                <w:sz w:val="20"/>
              </w:rPr>
            </w:r>
            <w:r>
              <w:rPr>
                <w:rFonts w:ascii="Consolas" w:hAnsi="Consolas"/>
                <w:sz w:val="20"/>
              </w:rPr>
              <w:t>∂CHF/∂x ≤ 0</w:t>
            </w:r>
            <w:r>
              <w:rPr>
                <w:sz w:val="20"/>
              </w:rPr>
              <w:t xml:space="preserve"> — CHF decreases monotonically with quality, in every regime and geometry examined.</w:t>
            </w:r>
          </w:p>
        </w:tc>
        <w:tc>
          <w:tcPr>
            <w:tcW w:type="dxa" w:w="2880"/>
          </w:tcPr>
          <w:p>
            <w:pPr>
              <w:spacing w:line="240" w:lineRule="auto" w:after="40"/>
            </w:pPr>
            <w:r>
              <w:rPr>
                <w:sz w:val="20"/>
              </w:rPr>
            </w:r>
            <w:r>
              <w:rPr>
                <w:sz w:val="20"/>
              </w:rPr>
              <w:t xml:space="preserve">§5, §6.1 </w:t>
            </w:r>
            <w:r>
              <w:rPr>
                <w:b/>
                <w:sz w:val="20"/>
              </w:rPr>
              <w:t>[V]</w:t>
            </w:r>
          </w:p>
        </w:tc>
      </w:tr>
      <w:tr>
        <w:tc>
          <w:tcPr>
            <w:tcW w:type="dxa" w:w="2880"/>
          </w:tcPr>
          <w:p>
            <w:pPr>
              <w:spacing w:line="240" w:lineRule="auto" w:after="40"/>
            </w:pPr>
            <w:r>
              <w:rPr>
                <w:sz w:val="20"/>
              </w:rPr>
            </w:r>
            <w:r>
              <w:rPr>
                <w:sz w:val="20"/>
              </w:rPr>
              <w:t>C4</w:t>
            </w:r>
          </w:p>
        </w:tc>
        <w:tc>
          <w:tcPr>
            <w:tcW w:type="dxa" w:w="2880"/>
          </w:tcPr>
          <w:p>
            <w:pPr>
              <w:spacing w:line="240" w:lineRule="auto" w:after="40"/>
            </w:pPr>
            <w:r>
              <w:rPr>
                <w:sz w:val="20"/>
              </w:rPr>
            </w:r>
            <w:r>
              <w:rPr>
                <w:rFonts w:ascii="Consolas" w:hAnsi="Consolas"/>
                <w:sz w:val="20"/>
              </w:rPr>
              <w:t>∂CHF/∂G ≥ 0</w:t>
            </w:r>
            <w:r>
              <w:rPr>
                <w:sz w:val="20"/>
              </w:rPr>
              <w:t xml:space="preserve"> in flow boiling (all helical-coil and tube sources agree).</w:t>
            </w:r>
          </w:p>
        </w:tc>
        <w:tc>
          <w:tcPr>
            <w:tcW w:type="dxa" w:w="2880"/>
          </w:tcPr>
          <w:p>
            <w:pPr>
              <w:spacing w:line="240" w:lineRule="auto" w:after="40"/>
            </w:pPr>
            <w:r>
              <w:rPr>
                <w:sz w:val="20"/>
              </w:rPr>
            </w:r>
            <w:r>
              <w:rPr>
                <w:sz w:val="20"/>
              </w:rPr>
              <w:t xml:space="preserve">§6.1 </w:t>
            </w:r>
            <w:r>
              <w:rPr>
                <w:b/>
                <w:sz w:val="20"/>
              </w:rPr>
              <w:t>[V]</w:t>
            </w:r>
          </w:p>
        </w:tc>
      </w:tr>
      <w:tr>
        <w:tc>
          <w:tcPr>
            <w:tcW w:type="dxa" w:w="2880"/>
          </w:tcPr>
          <w:p>
            <w:pPr>
              <w:spacing w:line="240" w:lineRule="auto" w:after="40"/>
            </w:pPr>
            <w:r>
              <w:rPr>
                <w:sz w:val="20"/>
              </w:rPr>
            </w:r>
            <w:r>
              <w:rPr>
                <w:sz w:val="20"/>
              </w:rPr>
              <w:t>C5</w:t>
            </w:r>
          </w:p>
        </w:tc>
        <w:tc>
          <w:tcPr>
            <w:tcW w:type="dxa" w:w="2880"/>
          </w:tcPr>
          <w:p>
            <w:pPr>
              <w:spacing w:line="240" w:lineRule="auto" w:after="40"/>
            </w:pPr>
            <w:r>
              <w:rPr>
                <w:sz w:val="20"/>
              </w:rPr>
            </w:r>
            <w:r>
              <w:rPr>
                <w:sz w:val="20"/>
              </w:rPr>
              <w:t xml:space="preserve">As </w:t>
            </w:r>
            <w:r>
              <w:rPr>
                <w:rFonts w:ascii="Consolas" w:hAnsi="Consolas"/>
                <w:sz w:val="20"/>
              </w:rPr>
              <w:t>G → 0</w:t>
            </w:r>
            <w:r>
              <w:rPr>
                <w:sz w:val="20"/>
              </w:rPr>
              <w:t xml:space="preserve">, the flow-boiling solution must approach the </w:t>
            </w:r>
            <w:r>
              <w:rPr>
                <w:b/>
                <w:sz w:val="20"/>
              </w:rPr>
              <w:t>pool-boiling</w:t>
            </w:r>
            <w:r>
              <w:rPr>
                <w:sz w:val="20"/>
              </w:rPr>
              <w:t xml:space="preserve"> solution (Zuber/Kutateladze), not diverge. Biasi's </w:t>
            </w:r>
            <w:r>
              <w:rPr>
                <w:rFonts w:ascii="Consolas" w:hAnsi="Consolas"/>
                <w:sz w:val="20"/>
              </w:rPr>
              <w:t>G^{1/6}</w:t>
            </w:r>
            <w:r>
              <w:rPr>
                <w:sz w:val="20"/>
              </w:rPr>
              <w:t xml:space="preserve"> denominators violate this.</w:t>
            </w:r>
          </w:p>
        </w:tc>
        <w:tc>
          <w:tcPr>
            <w:tcW w:type="dxa" w:w="2880"/>
          </w:tcPr>
          <w:p>
            <w:pPr>
              <w:spacing w:line="240" w:lineRule="auto" w:after="40"/>
            </w:pPr>
            <w:r>
              <w:rPr>
                <w:sz w:val="20"/>
              </w:rPr>
            </w:r>
            <w:r>
              <w:rPr>
                <w:sz w:val="20"/>
              </w:rPr>
              <w:t xml:space="preserve">§5.4 </w:t>
            </w:r>
            <w:r>
              <w:rPr>
                <w:b/>
                <w:sz w:val="20"/>
              </w:rPr>
              <w:t>[V]</w:t>
            </w:r>
          </w:p>
        </w:tc>
      </w:tr>
      <w:tr>
        <w:tc>
          <w:tcPr>
            <w:tcW w:type="dxa" w:w="2880"/>
          </w:tcPr>
          <w:p>
            <w:pPr>
              <w:spacing w:line="240" w:lineRule="auto" w:after="40"/>
            </w:pPr>
            <w:r>
              <w:rPr>
                <w:sz w:val="20"/>
              </w:rPr>
            </w:r>
            <w:r>
              <w:rPr>
                <w:sz w:val="20"/>
              </w:rPr>
              <w:t>C6</w:t>
            </w:r>
          </w:p>
        </w:tc>
        <w:tc>
          <w:tcPr>
            <w:tcW w:type="dxa" w:w="2880"/>
          </w:tcPr>
          <w:p>
            <w:pPr>
              <w:spacing w:line="240" w:lineRule="auto" w:after="40"/>
            </w:pPr>
            <w:r>
              <w:rPr>
                <w:sz w:val="20"/>
              </w:rPr>
            </w:r>
            <w:r>
              <w:rPr>
                <w:sz w:val="20"/>
              </w:rPr>
              <w:t xml:space="preserve">As </w:t>
            </w:r>
            <w:r>
              <w:rPr>
                <w:rFonts w:ascii="Consolas" w:hAnsi="Consolas"/>
                <w:sz w:val="20"/>
              </w:rPr>
              <w:t>P → P_crit</w:t>
            </w:r>
            <w:r>
              <w:rPr>
                <w:sz w:val="20"/>
              </w:rPr>
              <w:t xml:space="preserve">: </w:t>
            </w:r>
            <w:r>
              <w:rPr>
                <w:rFonts w:ascii="Consolas" w:hAnsi="Consolas"/>
                <w:sz w:val="20"/>
              </w:rPr>
              <w:t>σ → 0</w:t>
            </w:r>
            <w:r>
              <w:rPr>
                <w:sz w:val="20"/>
              </w:rPr>
              <w:t xml:space="preserve">, </w:t>
            </w:r>
            <w:r>
              <w:rPr>
                <w:rFonts w:ascii="Consolas" w:hAnsi="Consolas"/>
                <w:sz w:val="20"/>
              </w:rPr>
              <w:t>h_fg → 0</w:t>
            </w:r>
            <w:r>
              <w:rPr>
                <w:sz w:val="20"/>
              </w:rPr>
              <w:t xml:space="preserve">, </w:t>
            </w:r>
            <w:r>
              <w:rPr>
                <w:rFonts w:ascii="Consolas" w:hAnsi="Consolas"/>
                <w:sz w:val="20"/>
              </w:rPr>
              <w:t>ρ_f − ρ_g → 0</w:t>
            </w:r>
            <w:r>
              <w:rPr>
                <w:sz w:val="20"/>
              </w:rPr>
              <w:t xml:space="preserve">, therefore </w:t>
            </w:r>
            <w:r>
              <w:rPr>
                <w:rFonts w:ascii="Consolas" w:hAnsi="Consolas"/>
                <w:sz w:val="20"/>
              </w:rPr>
              <w:t>CHF → 0</w:t>
            </w:r>
            <w:r>
              <w:rPr>
                <w:sz w:val="20"/>
              </w:rPr>
              <w:t>. No feature may diverge here.</w:t>
            </w:r>
          </w:p>
        </w:tc>
        <w:tc>
          <w:tcPr>
            <w:tcW w:type="dxa" w:w="2880"/>
          </w:tcPr>
          <w:p>
            <w:pPr>
              <w:spacing w:line="240" w:lineRule="auto" w:after="40"/>
            </w:pPr>
            <w:r>
              <w:rPr>
                <w:sz w:val="20"/>
              </w:rPr>
            </w:r>
            <w:r>
              <w:rPr>
                <w:sz w:val="20"/>
              </w:rPr>
              <w:t>§2.1</w:t>
            </w:r>
          </w:p>
        </w:tc>
      </w:tr>
      <w:tr>
        <w:tc>
          <w:tcPr>
            <w:tcW w:type="dxa" w:w="2880"/>
          </w:tcPr>
          <w:p>
            <w:pPr>
              <w:spacing w:line="240" w:lineRule="auto" w:after="40"/>
            </w:pPr>
            <w:r>
              <w:rPr>
                <w:sz w:val="20"/>
              </w:rPr>
            </w:r>
            <w:r>
              <w:rPr>
                <w:sz w:val="20"/>
              </w:rPr>
              <w:t>C7</w:t>
            </w:r>
          </w:p>
        </w:tc>
        <w:tc>
          <w:tcPr>
            <w:tcW w:type="dxa" w:w="2880"/>
          </w:tcPr>
          <w:p>
            <w:pPr>
              <w:spacing w:line="240" w:lineRule="auto" w:after="40"/>
            </w:pPr>
            <w:r>
              <w:rPr>
                <w:sz w:val="20"/>
              </w:rPr>
            </w:r>
            <w:r>
              <w:rPr>
                <w:sz w:val="20"/>
              </w:rPr>
              <w:t>Dimensional homogeneity: predictions must be invariant under a change of unit system. Only satisfiable if the model operates on dimensionless groups.</w:t>
            </w:r>
          </w:p>
        </w:tc>
        <w:tc>
          <w:tcPr>
            <w:tcW w:type="dxa" w:w="2880"/>
          </w:tcPr>
          <w:p>
            <w:pPr>
              <w:spacing w:line="240" w:lineRule="auto" w:after="40"/>
            </w:pPr>
            <w:r>
              <w:rPr>
                <w:sz w:val="20"/>
              </w:rPr>
            </w:r>
            <w:r>
              <w:rPr>
                <w:sz w:val="20"/>
              </w:rPr>
              <w:t>§2.2</w:t>
            </w:r>
          </w:p>
        </w:tc>
      </w:tr>
    </w:tbl>
    <w:p/>
    <w:p>
      <w:pPr>
        <w:jc w:val="both"/>
      </w:pPr>
      <w:r>
        <w:t xml:space="preserve">Constraint </w:t>
      </w:r>
      <w:r>
        <w:rPr>
          <w:b/>
        </w:rPr>
        <w:t>C6</w:t>
      </w:r>
      <w:r>
        <w:t xml:space="preserve"> is exactly the failure mode already documented in</w:t>
      </w:r>
    </w:p>
    <w:p>
      <w:pPr>
        <w:jc w:val="both"/>
      </w:pPr>
      <w:r>
        <w:rPr>
          <w:rFonts w:ascii="Consolas" w:hAnsi="Consolas"/>
          <w:sz w:val="21"/>
        </w:rPr>
        <w:t>docs/CHF_Physics_Approaches_Explained.md</w:t>
      </w:r>
      <w:r>
        <w:t xml:space="preserve">: the </w:t>
      </w:r>
      <w:r>
        <w:rPr>
          <w:rFonts w:ascii="Consolas" w:hAnsi="Consolas"/>
          <w:sz w:val="21"/>
        </w:rPr>
        <w:t>ln(1 − P/P_crit)</w:t>
      </w:r>
      <w:r>
        <w:t xml:space="preserve"> feature exploded above</w:t>
      </w:r>
    </w:p>
    <w:p>
      <w:pPr>
        <w:jc w:val="both"/>
      </w:pPr>
      <w:r>
        <w:t>16,000 kPa and drove Split-C predictions to negative thousands. The physics said in</w:t>
      </w:r>
    </w:p>
    <w:p>
      <w:pPr>
        <w:jc w:val="both"/>
      </w:pPr>
      <w:r>
        <w:t>advance that this feature was inadmissible.</w:t>
      </w:r>
    </w:p>
    <w:p>
      <w:pPr>
        <w:pStyle w:val="Heading3"/>
      </w:pPr>
      <w:r>
        <w:rPr>
          <w:rFonts w:ascii="Times New Roman" w:hAnsi="Times New Roman"/>
          <w:color w:val="000000"/>
        </w:rPr>
        <w:t>8.2 Soft constraints (strong expectations; deviations need explanation)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w:t>
            </w:r>
          </w:p>
        </w:tc>
        <w:tc>
          <w:tcPr>
            <w:tcW w:type="dxa" w:w="2880"/>
          </w:tcPr>
          <w:p>
            <w:pPr>
              <w:spacing w:line="240" w:lineRule="auto" w:after="40"/>
            </w:pPr>
            <w:r>
              <w:rPr>
                <w:b/>
                <w:sz w:val="20"/>
              </w:rPr>
            </w:r>
            <w:r>
              <w:rPr>
                <w:b/>
                <w:sz w:val="20"/>
              </w:rPr>
              <w:t>Constraint</w:t>
            </w:r>
          </w:p>
        </w:tc>
        <w:tc>
          <w:tcPr>
            <w:tcW w:type="dxa" w:w="2880"/>
          </w:tcPr>
          <w:p>
            <w:pPr>
              <w:spacing w:line="240" w:lineRule="auto" w:after="40"/>
            </w:pPr>
            <w:r>
              <w:rPr>
                <w:b/>
                <w:sz w:val="20"/>
              </w:rPr>
            </w:r>
            <w:r>
              <w:rPr>
                <w:b/>
                <w:sz w:val="20"/>
              </w:rPr>
              <w:t>Source</w:t>
            </w:r>
          </w:p>
        </w:tc>
      </w:tr>
      <w:tr>
        <w:tc>
          <w:tcPr>
            <w:tcW w:type="dxa" w:w="2880"/>
          </w:tcPr>
          <w:p>
            <w:pPr>
              <w:spacing w:line="240" w:lineRule="auto" w:after="40"/>
            </w:pPr>
            <w:r>
              <w:rPr>
                <w:sz w:val="20"/>
              </w:rPr>
            </w:r>
            <w:r>
              <w:rPr>
                <w:sz w:val="20"/>
              </w:rPr>
              <w:t>S1</w:t>
            </w:r>
          </w:p>
        </w:tc>
        <w:tc>
          <w:tcPr>
            <w:tcW w:type="dxa" w:w="2880"/>
          </w:tcPr>
          <w:p>
            <w:pPr>
              <w:spacing w:line="240" w:lineRule="auto" w:after="40"/>
            </w:pPr>
            <w:r>
              <w:rPr>
                <w:sz w:val="20"/>
              </w:rPr>
            </w:r>
            <w:r>
              <w:rPr>
                <w:sz w:val="20"/>
              </w:rPr>
              <w:t xml:space="preserve">Pool-boiling CHF vs. pressure is </w:t>
            </w:r>
            <w:r>
              <w:rPr>
                <w:b/>
                <w:sz w:val="20"/>
              </w:rPr>
              <w:t>non-monotonic with a maximum near `P/P_c ≈ 0.35`</w:t>
            </w:r>
            <w:r>
              <w:rPr>
                <w:sz w:val="20"/>
              </w:rPr>
              <w:t>.</w:t>
            </w:r>
          </w:p>
        </w:tc>
        <w:tc>
          <w:tcPr>
            <w:tcW w:type="dxa" w:w="2880"/>
          </w:tcPr>
          <w:p>
            <w:pPr>
              <w:spacing w:line="240" w:lineRule="auto" w:after="40"/>
            </w:pPr>
            <w:r>
              <w:rPr>
                <w:sz w:val="20"/>
              </w:rPr>
            </w:r>
            <w:r>
              <w:rPr>
                <w:sz w:val="20"/>
              </w:rPr>
              <w:t xml:space="preserve">§4.6 </w:t>
            </w:r>
            <w:r>
              <w:rPr>
                <w:b/>
                <w:sz w:val="20"/>
              </w:rPr>
              <w:t>[V]</w:t>
            </w:r>
          </w:p>
        </w:tc>
      </w:tr>
      <w:tr>
        <w:tc>
          <w:tcPr>
            <w:tcW w:type="dxa" w:w="2880"/>
          </w:tcPr>
          <w:p>
            <w:pPr>
              <w:spacing w:line="240" w:lineRule="auto" w:after="40"/>
            </w:pPr>
            <w:r>
              <w:rPr>
                <w:sz w:val="20"/>
              </w:rPr>
            </w:r>
            <w:r>
              <w:rPr>
                <w:sz w:val="20"/>
              </w:rPr>
              <w:t>S2</w:t>
            </w:r>
          </w:p>
        </w:tc>
        <w:tc>
          <w:tcPr>
            <w:tcW w:type="dxa" w:w="2880"/>
          </w:tcPr>
          <w:p>
            <w:pPr>
              <w:spacing w:line="240" w:lineRule="auto" w:after="40"/>
            </w:pPr>
            <w:r>
              <w:rPr>
                <w:sz w:val="20"/>
              </w:rPr>
            </w:r>
            <w:r>
              <w:rPr>
                <w:sz w:val="20"/>
              </w:rPr>
              <w:t xml:space="preserve">Dimensionless </w:t>
            </w:r>
            <w:r>
              <w:rPr>
                <w:rFonts w:ascii="Consolas" w:hAnsi="Consolas"/>
                <w:sz w:val="20"/>
              </w:rPr>
              <w:t>K</w:t>
            </w:r>
            <w:r>
              <w:rPr>
                <w:sz w:val="20"/>
              </w:rPr>
              <w:t xml:space="preserve"> for saturated pool boiling on a large horizontal surface lies in </w:t>
            </w:r>
            <w:r>
              <w:rPr>
                <w:b/>
                <w:sz w:val="20"/>
              </w:rPr>
              <w:t>0.119–0.157</w:t>
            </w:r>
            <w:r>
              <w:rPr>
                <w:sz w:val="20"/>
              </w:rPr>
              <w:t xml:space="preserve"> (Zuber's bracket), extending to ~0.13–0.2 across the literature. A model predicting </w:t>
            </w:r>
            <w:r>
              <w:rPr>
                <w:rFonts w:ascii="Consolas" w:hAnsi="Consolas"/>
                <w:sz w:val="20"/>
              </w:rPr>
              <w:t>K = 0.5</w:t>
            </w:r>
            <w:r>
              <w:rPr>
                <w:sz w:val="20"/>
              </w:rPr>
              <w:t xml:space="preserve"> or </w:t>
            </w:r>
            <w:r>
              <w:rPr>
                <w:rFonts w:ascii="Consolas" w:hAnsi="Consolas"/>
                <w:sz w:val="20"/>
              </w:rPr>
              <w:t>K = 0.02</w:t>
            </w:r>
            <w:r>
              <w:rPr>
                <w:sz w:val="20"/>
              </w:rPr>
              <w:t xml:space="preserve"> is reporting a different phenomenon.</w:t>
            </w:r>
          </w:p>
        </w:tc>
        <w:tc>
          <w:tcPr>
            <w:tcW w:type="dxa" w:w="2880"/>
          </w:tcPr>
          <w:p>
            <w:pPr>
              <w:spacing w:line="240" w:lineRule="auto" w:after="40"/>
            </w:pPr>
            <w:r>
              <w:rPr>
                <w:sz w:val="20"/>
              </w:rPr>
            </w:r>
            <w:r>
              <w:rPr>
                <w:sz w:val="20"/>
              </w:rPr>
              <w:t xml:space="preserve">§3.2, §4.6 </w:t>
            </w:r>
            <w:r>
              <w:rPr>
                <w:b/>
                <w:sz w:val="20"/>
              </w:rPr>
              <w:t>[V]</w:t>
            </w:r>
          </w:p>
        </w:tc>
      </w:tr>
      <w:tr>
        <w:tc>
          <w:tcPr>
            <w:tcW w:type="dxa" w:w="2880"/>
          </w:tcPr>
          <w:p>
            <w:pPr>
              <w:spacing w:line="240" w:lineRule="auto" w:after="40"/>
            </w:pPr>
            <w:r>
              <w:rPr>
                <w:sz w:val="20"/>
              </w:rPr>
            </w:r>
            <w:r>
              <w:rPr>
                <w:sz w:val="20"/>
              </w:rPr>
              <w:t>S3</w:t>
            </w:r>
          </w:p>
        </w:tc>
        <w:tc>
          <w:tcPr>
            <w:tcW w:type="dxa" w:w="2880"/>
          </w:tcPr>
          <w:p>
            <w:pPr>
              <w:spacing w:line="240" w:lineRule="auto" w:after="40"/>
            </w:pPr>
            <w:r>
              <w:rPr>
                <w:sz w:val="20"/>
              </w:rPr>
            </w:r>
            <w:r>
              <w:rPr>
                <w:sz w:val="20"/>
              </w:rPr>
              <w:t xml:space="preserve">CHF </w:t>
            </w:r>
            <w:r>
              <w:rPr>
                <w:b/>
                <w:sz w:val="20"/>
              </w:rPr>
              <w:t>decreases</w:t>
            </w:r>
            <w:r>
              <w:rPr>
                <w:sz w:val="20"/>
              </w:rPr>
              <w:t xml:space="preserve"> with decreasing wettability (increasing contact angle); at α = 107° it can be </w:t>
            </w:r>
            <w:r>
              <w:rPr>
                <w:b/>
                <w:sz w:val="20"/>
              </w:rPr>
              <w:t>half</w:t>
            </w:r>
            <w:r>
              <w:rPr>
                <w:sz w:val="20"/>
              </w:rPr>
              <w:t xml:space="preserve"> the hydrodynamic prediction.</w:t>
            </w:r>
          </w:p>
        </w:tc>
        <w:tc>
          <w:tcPr>
            <w:tcW w:type="dxa" w:w="2880"/>
          </w:tcPr>
          <w:p>
            <w:pPr>
              <w:spacing w:line="240" w:lineRule="auto" w:after="40"/>
            </w:pPr>
            <w:r>
              <w:rPr>
                <w:sz w:val="20"/>
              </w:rPr>
            </w:r>
            <w:r>
              <w:rPr>
                <w:sz w:val="20"/>
              </w:rPr>
              <w:t xml:space="preserve">§4.1 </w:t>
            </w:r>
            <w:r>
              <w:rPr>
                <w:b/>
                <w:sz w:val="20"/>
              </w:rPr>
              <w:t>[V]</w:t>
            </w:r>
          </w:p>
        </w:tc>
      </w:tr>
      <w:tr>
        <w:tc>
          <w:tcPr>
            <w:tcW w:type="dxa" w:w="2880"/>
          </w:tcPr>
          <w:p>
            <w:pPr>
              <w:spacing w:line="240" w:lineRule="auto" w:after="40"/>
            </w:pPr>
            <w:r>
              <w:rPr>
                <w:sz w:val="20"/>
              </w:rPr>
            </w:r>
            <w:r>
              <w:rPr>
                <w:sz w:val="20"/>
              </w:rPr>
              <w:t>S4</w:t>
            </w:r>
          </w:p>
        </w:tc>
        <w:tc>
          <w:tcPr>
            <w:tcW w:type="dxa" w:w="2880"/>
          </w:tcPr>
          <w:p>
            <w:pPr>
              <w:spacing w:line="240" w:lineRule="auto" w:after="40"/>
            </w:pPr>
            <w:r>
              <w:rPr>
                <w:sz w:val="20"/>
              </w:rPr>
            </w:r>
            <w:r>
              <w:rPr>
                <w:sz w:val="20"/>
              </w:rPr>
              <w:t xml:space="preserve">CHF </w:t>
            </w:r>
            <w:r>
              <w:rPr>
                <w:b/>
                <w:sz w:val="20"/>
              </w:rPr>
              <w:t>increases</w:t>
            </w:r>
            <w:r>
              <w:rPr>
                <w:sz w:val="20"/>
              </w:rPr>
              <w:t xml:space="preserve"> with roughness where wicking is active, then </w:t>
            </w:r>
            <w:r>
              <w:rPr>
                <w:b/>
                <w:sz w:val="20"/>
              </w:rPr>
              <w:t>saturates</w:t>
            </w:r>
            <w:r>
              <w:rPr>
                <w:sz w:val="20"/>
              </w:rPr>
              <w:t xml:space="preserve"> (no further gain for </w:t>
            </w:r>
            <w:r>
              <w:rPr>
                <w:rFonts w:ascii="Consolas" w:hAnsi="Consolas"/>
                <w:sz w:val="20"/>
              </w:rPr>
              <w:t>R_a</w:t>
            </w:r>
            <w:r>
              <w:rPr>
                <w:sz w:val="20"/>
              </w:rPr>
              <w:t xml:space="preserve"> ≳ 0.35 µm on superhydrophilic surfaces). Not monotonic without bound.</w:t>
            </w:r>
          </w:p>
        </w:tc>
        <w:tc>
          <w:tcPr>
            <w:tcW w:type="dxa" w:w="2880"/>
          </w:tcPr>
          <w:p>
            <w:pPr>
              <w:spacing w:line="240" w:lineRule="auto" w:after="40"/>
            </w:pPr>
            <w:r>
              <w:rPr>
                <w:sz w:val="20"/>
              </w:rPr>
            </w:r>
            <w:r>
              <w:rPr>
                <w:sz w:val="20"/>
              </w:rPr>
              <w:t xml:space="preserve">§4.2 </w:t>
            </w:r>
            <w:r>
              <w:rPr>
                <w:b/>
                <w:sz w:val="20"/>
              </w:rPr>
              <w:t>[V]</w:t>
            </w:r>
          </w:p>
        </w:tc>
      </w:tr>
      <w:tr>
        <w:tc>
          <w:tcPr>
            <w:tcW w:type="dxa" w:w="2880"/>
          </w:tcPr>
          <w:p>
            <w:pPr>
              <w:spacing w:line="240" w:lineRule="auto" w:after="40"/>
            </w:pPr>
            <w:r>
              <w:rPr>
                <w:sz w:val="20"/>
              </w:rPr>
            </w:r>
            <w:r>
              <w:rPr>
                <w:sz w:val="20"/>
              </w:rPr>
              <w:t>S5</w:t>
            </w:r>
          </w:p>
        </w:tc>
        <w:tc>
          <w:tcPr>
            <w:tcW w:type="dxa" w:w="2880"/>
          </w:tcPr>
          <w:p>
            <w:pPr>
              <w:spacing w:line="240" w:lineRule="auto" w:after="40"/>
            </w:pPr>
            <w:r>
              <w:rPr>
                <w:sz w:val="20"/>
              </w:rPr>
            </w:r>
            <w:r>
              <w:rPr>
                <w:sz w:val="20"/>
              </w:rPr>
              <w:t xml:space="preserve">CHF decreases </w:t>
            </w:r>
            <w:r>
              <w:rPr>
                <w:b/>
                <w:sz w:val="20"/>
              </w:rPr>
              <w:t>slightly</w:t>
            </w:r>
            <w:r>
              <w:rPr>
                <w:sz w:val="20"/>
              </w:rPr>
              <w:t xml:space="preserve"> for orientation 0°→90°, then </w:t>
            </w:r>
            <w:r>
              <w:rPr>
                <w:b/>
                <w:sz w:val="20"/>
              </w:rPr>
              <w:t>sharply</w:t>
            </w:r>
            <w:r>
              <w:rPr>
                <w:sz w:val="20"/>
              </w:rPr>
              <w:t xml:space="preserve"> 90°→180°. Three distinct mechanism regions.</w:t>
            </w:r>
          </w:p>
        </w:tc>
        <w:tc>
          <w:tcPr>
            <w:tcW w:type="dxa" w:w="2880"/>
          </w:tcPr>
          <w:p>
            <w:pPr>
              <w:spacing w:line="240" w:lineRule="auto" w:after="40"/>
            </w:pPr>
            <w:r>
              <w:rPr>
                <w:sz w:val="20"/>
              </w:rPr>
            </w:r>
            <w:r>
              <w:rPr>
                <w:sz w:val="20"/>
              </w:rPr>
              <w:t xml:space="preserve">§4.3 </w:t>
            </w:r>
            <w:r>
              <w:rPr>
                <w:b/>
                <w:sz w:val="20"/>
              </w:rPr>
              <w:t>[V]</w:t>
            </w:r>
          </w:p>
        </w:tc>
      </w:tr>
      <w:tr>
        <w:tc>
          <w:tcPr>
            <w:tcW w:type="dxa" w:w="2880"/>
          </w:tcPr>
          <w:p>
            <w:pPr>
              <w:spacing w:line="240" w:lineRule="auto" w:after="40"/>
            </w:pPr>
            <w:r>
              <w:rPr>
                <w:sz w:val="20"/>
              </w:rPr>
            </w:r>
            <w:r>
              <w:rPr>
                <w:sz w:val="20"/>
              </w:rPr>
              <w:t>S6</w:t>
            </w:r>
          </w:p>
        </w:tc>
        <w:tc>
          <w:tcPr>
            <w:tcW w:type="dxa" w:w="2880"/>
          </w:tcPr>
          <w:p>
            <w:pPr>
              <w:spacing w:line="240" w:lineRule="auto" w:after="40"/>
            </w:pPr>
            <w:r>
              <w:rPr>
                <w:sz w:val="20"/>
              </w:rPr>
            </w:r>
            <w:r>
              <w:rPr>
                <w:sz w:val="20"/>
              </w:rPr>
              <w:t xml:space="preserve">Diameter effect </w:t>
            </w:r>
            <w:r>
              <w:rPr>
                <w:b/>
                <w:sz w:val="20"/>
              </w:rPr>
              <w:t>reverses sign</w:t>
            </w:r>
            <w:r>
              <w:rPr>
                <w:sz w:val="20"/>
              </w:rPr>
              <w:t xml:space="preserve"> at low mass flux (</w:t>
            </w:r>
            <w:r>
              <w:rPr>
                <w:rFonts w:ascii="Consolas" w:hAnsi="Consolas"/>
                <w:sz w:val="20"/>
              </w:rPr>
              <w:t>n &lt; 0</w:t>
            </w:r>
            <w:r>
              <w:rPr>
                <w:sz w:val="20"/>
              </w:rPr>
              <w:t xml:space="preserve"> for G &lt; 250) and at high quality. A single global </w:t>
            </w:r>
            <w:r>
              <w:rPr>
                <w:rFonts w:ascii="Consolas" w:hAnsi="Consolas"/>
                <w:sz w:val="20"/>
              </w:rPr>
              <w:t>D^{−0.5}</w:t>
            </w:r>
            <w:r>
              <w:rPr>
                <w:sz w:val="20"/>
              </w:rPr>
              <w:t xml:space="preserve"> is wrong.</w:t>
            </w:r>
          </w:p>
        </w:tc>
        <w:tc>
          <w:tcPr>
            <w:tcW w:type="dxa" w:w="2880"/>
          </w:tcPr>
          <w:p>
            <w:pPr>
              <w:spacing w:line="240" w:lineRule="auto" w:after="40"/>
            </w:pPr>
            <w:r>
              <w:rPr>
                <w:sz w:val="20"/>
              </w:rPr>
            </w:r>
            <w:r>
              <w:rPr>
                <w:sz w:val="20"/>
              </w:rPr>
              <w:t xml:space="preserve">§5.3 </w:t>
            </w:r>
            <w:r>
              <w:rPr>
                <w:b/>
                <w:sz w:val="20"/>
              </w:rPr>
              <w:t>[V]</w:t>
            </w:r>
          </w:p>
        </w:tc>
      </w:tr>
      <w:tr>
        <w:tc>
          <w:tcPr>
            <w:tcW w:type="dxa" w:w="2880"/>
          </w:tcPr>
          <w:p>
            <w:pPr>
              <w:spacing w:line="240" w:lineRule="auto" w:after="40"/>
            </w:pPr>
            <w:r>
              <w:rPr>
                <w:sz w:val="20"/>
              </w:rPr>
            </w:r>
            <w:r>
              <w:rPr>
                <w:sz w:val="20"/>
              </w:rPr>
              <w:t>S7</w:t>
            </w:r>
          </w:p>
        </w:tc>
        <w:tc>
          <w:tcPr>
            <w:tcW w:type="dxa" w:w="2880"/>
          </w:tcPr>
          <w:p>
            <w:pPr>
              <w:spacing w:line="240" w:lineRule="auto" w:after="40"/>
            </w:pPr>
            <w:r>
              <w:rPr>
                <w:sz w:val="20"/>
              </w:rPr>
            </w:r>
            <w:r>
              <w:rPr>
                <w:sz w:val="20"/>
              </w:rPr>
              <w:t xml:space="preserve">Helical-coil CHF is </w:t>
            </w:r>
            <w:r>
              <w:rPr>
                <w:b/>
                <w:sz w:val="20"/>
              </w:rPr>
              <w:t>below</w:t>
            </w:r>
            <w:r>
              <w:rPr>
                <w:sz w:val="20"/>
              </w:rPr>
              <w:t xml:space="preserve"> straight-tube at low quality and </w:t>
            </w:r>
            <w:r>
              <w:rPr>
                <w:b/>
                <w:sz w:val="20"/>
              </w:rPr>
              <w:t>above</w:t>
            </w:r>
            <w:r>
              <w:rPr>
                <w:sz w:val="20"/>
              </w:rPr>
              <w:t xml:space="preserve"> it at high quality; the crossover is real, not noise.</w:t>
            </w:r>
          </w:p>
        </w:tc>
        <w:tc>
          <w:tcPr>
            <w:tcW w:type="dxa" w:w="2880"/>
          </w:tcPr>
          <w:p>
            <w:pPr>
              <w:spacing w:line="240" w:lineRule="auto" w:after="40"/>
            </w:pPr>
            <w:r>
              <w:rPr>
                <w:sz w:val="20"/>
              </w:rPr>
            </w:r>
            <w:r>
              <w:rPr>
                <w:sz w:val="20"/>
              </w:rPr>
              <w:t xml:space="preserve">§6.1 </w:t>
            </w:r>
            <w:r>
              <w:rPr>
                <w:b/>
                <w:sz w:val="20"/>
              </w:rPr>
              <w:t>[V]</w:t>
            </w:r>
          </w:p>
        </w:tc>
      </w:tr>
      <w:tr>
        <w:tc>
          <w:tcPr>
            <w:tcW w:type="dxa" w:w="2880"/>
          </w:tcPr>
          <w:p>
            <w:pPr>
              <w:spacing w:line="240" w:lineRule="auto" w:after="40"/>
            </w:pPr>
            <w:r>
              <w:rPr>
                <w:sz w:val="20"/>
              </w:rPr>
            </w:r>
            <w:r>
              <w:rPr>
                <w:sz w:val="20"/>
              </w:rPr>
              <w:t>S8</w:t>
            </w:r>
          </w:p>
        </w:tc>
        <w:tc>
          <w:tcPr>
            <w:tcW w:type="dxa" w:w="2880"/>
          </w:tcPr>
          <w:p>
            <w:pPr>
              <w:spacing w:line="240" w:lineRule="auto" w:after="40"/>
            </w:pPr>
            <w:r>
              <w:rPr>
                <w:sz w:val="20"/>
              </w:rPr>
            </w:r>
            <w:r>
              <w:rPr>
                <w:sz w:val="20"/>
              </w:rPr>
              <w:t xml:space="preserve">For finite heaters, Zuber applies only for width </w:t>
            </w:r>
            <w:r>
              <w:rPr>
                <w:b/>
                <w:sz w:val="20"/>
              </w:rPr>
              <w:t>&gt; 3λ_d</w:t>
            </w:r>
            <w:r>
              <w:rPr>
                <w:sz w:val="20"/>
              </w:rPr>
              <w:t xml:space="preserve"> (or &gt; 12 capillary lengths, or &gt; 2, depending on source). Below that, expect systematic deviation.</w:t>
            </w:r>
          </w:p>
        </w:tc>
        <w:tc>
          <w:tcPr>
            <w:tcW w:type="dxa" w:w="2880"/>
          </w:tcPr>
          <w:p>
            <w:pPr>
              <w:spacing w:line="240" w:lineRule="auto" w:after="40"/>
            </w:pPr>
            <w:r>
              <w:rPr>
                <w:sz w:val="20"/>
              </w:rPr>
            </w:r>
            <w:r>
              <w:rPr>
                <w:sz w:val="20"/>
              </w:rPr>
              <w:t xml:space="preserve">§3.3 </w:t>
            </w:r>
            <w:r>
              <w:rPr>
                <w:b/>
                <w:sz w:val="20"/>
              </w:rPr>
              <w:t>[V]</w:t>
            </w:r>
          </w:p>
        </w:tc>
      </w:tr>
      <w:tr>
        <w:tc>
          <w:tcPr>
            <w:tcW w:type="dxa" w:w="2880"/>
          </w:tcPr>
          <w:p>
            <w:pPr>
              <w:spacing w:line="240" w:lineRule="auto" w:after="40"/>
            </w:pPr>
            <w:r>
              <w:rPr>
                <w:sz w:val="20"/>
              </w:rPr>
            </w:r>
            <w:r>
              <w:rPr>
                <w:sz w:val="20"/>
              </w:rPr>
              <w:t>S9</w:t>
            </w:r>
          </w:p>
        </w:tc>
        <w:tc>
          <w:tcPr>
            <w:tcW w:type="dxa" w:w="2880"/>
          </w:tcPr>
          <w:p>
            <w:pPr>
              <w:spacing w:line="240" w:lineRule="auto" w:after="40"/>
            </w:pPr>
            <w:r>
              <w:rPr>
                <w:sz w:val="20"/>
              </w:rPr>
            </w:r>
            <w:r>
              <w:rPr>
                <w:sz w:val="20"/>
              </w:rPr>
              <w:t xml:space="preserve">Regime boundary at </w:t>
            </w:r>
            <w:r>
              <w:rPr>
                <w:rFonts w:ascii="Consolas" w:hAnsi="Consolas"/>
                <w:sz w:val="20"/>
              </w:rPr>
              <w:t>ρ_g/ρ_f = 0.15</w:t>
            </w:r>
            <w:r>
              <w:rPr>
                <w:sz w:val="20"/>
              </w:rPr>
              <w:t xml:space="preserve"> (Katto–Ohno) separates two different controlling mechanisms.</w:t>
            </w:r>
          </w:p>
        </w:tc>
        <w:tc>
          <w:tcPr>
            <w:tcW w:type="dxa" w:w="2880"/>
          </w:tcPr>
          <w:p>
            <w:pPr>
              <w:spacing w:line="240" w:lineRule="auto" w:after="40"/>
            </w:pPr>
            <w:r>
              <w:rPr>
                <w:sz w:val="20"/>
              </w:rPr>
            </w:r>
            <w:r>
              <w:rPr>
                <w:sz w:val="20"/>
              </w:rPr>
              <w:t xml:space="preserve">§5.5 </w:t>
            </w:r>
            <w:r>
              <w:rPr>
                <w:b/>
                <w:sz w:val="20"/>
              </w:rPr>
              <w:t>[V]</w:t>
            </w:r>
          </w:p>
        </w:tc>
      </w:tr>
      <w:tr>
        <w:tc>
          <w:tcPr>
            <w:tcW w:type="dxa" w:w="2880"/>
          </w:tcPr>
          <w:p>
            <w:pPr>
              <w:spacing w:line="240" w:lineRule="auto" w:after="40"/>
            </w:pPr>
            <w:r>
              <w:rPr>
                <w:sz w:val="20"/>
              </w:rPr>
            </w:r>
            <w:r>
              <w:rPr>
                <w:sz w:val="20"/>
              </w:rPr>
              <w:t>S10</w:t>
            </w:r>
          </w:p>
        </w:tc>
        <w:tc>
          <w:tcPr>
            <w:tcW w:type="dxa" w:w="2880"/>
          </w:tcPr>
          <w:p>
            <w:pPr>
              <w:spacing w:line="240" w:lineRule="auto" w:after="40"/>
            </w:pPr>
            <w:r>
              <w:rPr>
                <w:sz w:val="20"/>
              </w:rPr>
            </w:r>
            <w:r>
              <w:rPr>
                <w:sz w:val="20"/>
              </w:rPr>
              <w:t xml:space="preserve">Wall thermal activity </w:t>
            </w:r>
            <w:r>
              <w:rPr>
                <w:rFonts w:ascii="Consolas" w:hAnsi="Consolas"/>
                <w:sz w:val="20"/>
              </w:rPr>
              <w:t>S</w:t>
            </w:r>
            <w:r>
              <w:rPr>
                <w:sz w:val="20"/>
              </w:rPr>
              <w:t xml:space="preserve"> matters in </w:t>
            </w:r>
            <w:r>
              <w:rPr>
                <w:b/>
                <w:sz w:val="20"/>
              </w:rPr>
              <w:t>pool</w:t>
            </w:r>
            <w:r>
              <w:rPr>
                <w:sz w:val="20"/>
              </w:rPr>
              <w:t xml:space="preserve"> boiling (asymptote at S ≈ 10–85) and not in </w:t>
            </w:r>
            <w:r>
              <w:rPr>
                <w:b/>
                <w:sz w:val="20"/>
              </w:rPr>
              <w:t>flow</w:t>
            </w:r>
            <w:r>
              <w:rPr>
                <w:sz w:val="20"/>
              </w:rPr>
              <w:t xml:space="preserve"> boiling.</w:t>
            </w:r>
          </w:p>
        </w:tc>
        <w:tc>
          <w:tcPr>
            <w:tcW w:type="dxa" w:w="2880"/>
          </w:tcPr>
          <w:p>
            <w:pPr>
              <w:spacing w:line="240" w:lineRule="auto" w:after="40"/>
            </w:pPr>
            <w:r>
              <w:rPr>
                <w:sz w:val="20"/>
              </w:rPr>
            </w:r>
            <w:r>
              <w:rPr>
                <w:sz w:val="20"/>
              </w:rPr>
              <w:t xml:space="preserve">§4.5, §1.4 </w:t>
            </w:r>
            <w:r>
              <w:rPr>
                <w:b/>
                <w:sz w:val="20"/>
              </w:rPr>
              <w:t>[V]</w:t>
            </w:r>
          </w:p>
        </w:tc>
      </w:tr>
    </w:tbl>
    <w:p/>
    <w:p>
      <w:pPr>
        <w:pStyle w:val="Heading3"/>
      </w:pPr>
      <w:r>
        <w:rPr>
          <w:rFonts w:ascii="Times New Roman" w:hAnsi="Times New Roman"/>
          <w:color w:val="000000"/>
        </w:rPr>
        <w:t>8.3 Data-integrity constraints specific to our dataset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w:t>
            </w:r>
          </w:p>
        </w:tc>
        <w:tc>
          <w:tcPr>
            <w:tcW w:type="dxa" w:w="2880"/>
          </w:tcPr>
          <w:p>
            <w:pPr>
              <w:spacing w:line="240" w:lineRule="auto" w:after="40"/>
            </w:pPr>
            <w:r>
              <w:rPr>
                <w:b/>
                <w:sz w:val="20"/>
              </w:rPr>
            </w:r>
            <w:r>
              <w:rPr>
                <w:b/>
                <w:sz w:val="20"/>
              </w:rPr>
              <w:t>Issue</w:t>
            </w:r>
          </w:p>
        </w:tc>
        <w:tc>
          <w:tcPr>
            <w:tcW w:type="dxa" w:w="2880"/>
          </w:tcPr>
          <w:p>
            <w:pPr>
              <w:spacing w:line="240" w:lineRule="auto" w:after="40"/>
            </w:pPr>
            <w:r>
              <w:rPr>
                <w:b/>
                <w:sz w:val="20"/>
              </w:rPr>
            </w:r>
            <w:r>
              <w:rPr>
                <w:b/>
                <w:sz w:val="20"/>
              </w:rPr>
              <w:t>Evidence</w:t>
            </w:r>
          </w:p>
        </w:tc>
      </w:tr>
      <w:tr>
        <w:tc>
          <w:tcPr>
            <w:tcW w:type="dxa" w:w="2880"/>
          </w:tcPr>
          <w:p>
            <w:pPr>
              <w:spacing w:line="240" w:lineRule="auto" w:after="40"/>
            </w:pPr>
            <w:r>
              <w:rPr>
                <w:sz w:val="20"/>
              </w:rPr>
            </w:r>
            <w:r>
              <w:rPr>
                <w:sz w:val="20"/>
              </w:rPr>
              <w:t>D1</w:t>
            </w:r>
          </w:p>
        </w:tc>
        <w:tc>
          <w:tcPr>
            <w:tcW w:type="dxa" w:w="2880"/>
          </w:tcPr>
          <w:p>
            <w:pPr>
              <w:spacing w:line="240" w:lineRule="auto" w:after="40"/>
            </w:pPr>
            <w:r>
              <w:rPr>
                <w:sz w:val="20"/>
              </w:rPr>
            </w:r>
            <w:r>
              <w:rPr>
                <w:sz w:val="20"/>
              </w:rPr>
              <w:t xml:space="preserve">CHF label definition varies by source (4+ detection criteria). No </w:t>
            </w:r>
            <w:r>
              <w:rPr>
                <w:rFonts w:ascii="Consolas" w:hAnsi="Consolas"/>
                <w:sz w:val="20"/>
              </w:rPr>
              <w:t>detection_criterion</w:t>
            </w:r>
            <w:r>
              <w:rPr>
                <w:sz w:val="20"/>
              </w:rPr>
              <w:t xml:space="preserve"> column exists.</w:t>
            </w:r>
          </w:p>
        </w:tc>
        <w:tc>
          <w:tcPr>
            <w:tcW w:type="dxa" w:w="2880"/>
          </w:tcPr>
          <w:p>
            <w:pPr>
              <w:spacing w:line="240" w:lineRule="auto" w:after="40"/>
            </w:pPr>
            <w:r>
              <w:rPr>
                <w:sz w:val="20"/>
              </w:rPr>
            </w:r>
            <w:r>
              <w:rPr>
                <w:sz w:val="20"/>
              </w:rPr>
              <w:t>§1.3</w:t>
            </w:r>
          </w:p>
        </w:tc>
      </w:tr>
      <w:tr>
        <w:tc>
          <w:tcPr>
            <w:tcW w:type="dxa" w:w="2880"/>
          </w:tcPr>
          <w:p>
            <w:pPr>
              <w:spacing w:line="240" w:lineRule="auto" w:after="40"/>
            </w:pPr>
            <w:r>
              <w:rPr>
                <w:sz w:val="20"/>
              </w:rPr>
            </w:r>
            <w:r>
              <w:rPr>
                <w:sz w:val="20"/>
              </w:rPr>
              <w:t>D2</w:t>
            </w:r>
          </w:p>
        </w:tc>
        <w:tc>
          <w:tcPr>
            <w:tcW w:type="dxa" w:w="2880"/>
          </w:tcPr>
          <w:p>
            <w:pPr>
              <w:spacing w:line="240" w:lineRule="auto" w:after="40"/>
            </w:pPr>
            <w:r>
              <w:rPr>
                <w:sz w:val="20"/>
              </w:rPr>
            </w:r>
            <w:r>
              <w:rPr>
                <w:sz w:val="20"/>
              </w:rPr>
              <w:t xml:space="preserve">Contact angle: </w:t>
            </w:r>
            <w:r>
              <w:rPr>
                <w:b/>
                <w:sz w:val="20"/>
              </w:rPr>
              <w:t>no column</w:t>
            </w:r>
            <w:r>
              <w:rPr>
                <w:sz w:val="20"/>
              </w:rPr>
              <w:t xml:space="preserve">. Roughness: 0.6% coverage, and no peak-spacing </w:t>
            </w:r>
            <w:r>
              <w:rPr>
                <w:rFonts w:ascii="Consolas" w:hAnsi="Consolas"/>
                <w:sz w:val="20"/>
              </w:rPr>
              <w:t>S_m</w:t>
            </w:r>
            <w:r>
              <w:rPr>
                <w:sz w:val="20"/>
              </w:rPr>
              <w:t xml:space="preserve"> — Kim et al. Eq. (21) needs both.</w:t>
            </w:r>
          </w:p>
        </w:tc>
        <w:tc>
          <w:tcPr>
            <w:tcW w:type="dxa" w:w="2880"/>
          </w:tcPr>
          <w:p>
            <w:pPr>
              <w:spacing w:line="240" w:lineRule="auto" w:after="40"/>
            </w:pPr>
            <w:r>
              <w:rPr>
                <w:sz w:val="20"/>
              </w:rPr>
            </w:r>
            <w:r>
              <w:rPr>
                <w:sz w:val="20"/>
              </w:rPr>
              <w:t>§4.2</w:t>
            </w:r>
          </w:p>
        </w:tc>
      </w:tr>
      <w:tr>
        <w:tc>
          <w:tcPr>
            <w:tcW w:type="dxa" w:w="2880"/>
          </w:tcPr>
          <w:p>
            <w:pPr>
              <w:spacing w:line="240" w:lineRule="auto" w:after="40"/>
            </w:pPr>
            <w:r>
              <w:rPr>
                <w:sz w:val="20"/>
              </w:rPr>
            </w:r>
            <w:r>
              <w:rPr>
                <w:sz w:val="20"/>
              </w:rPr>
              <w:t>D3</w:t>
            </w:r>
          </w:p>
        </w:tc>
        <w:tc>
          <w:tcPr>
            <w:tcW w:type="dxa" w:w="2880"/>
          </w:tcPr>
          <w:p>
            <w:pPr>
              <w:spacing w:line="240" w:lineRule="auto" w:after="40"/>
            </w:pPr>
            <w:r>
              <w:rPr>
                <w:sz w:val="20"/>
              </w:rPr>
            </w:r>
            <w:r>
              <w:rPr>
                <w:sz w:val="20"/>
              </w:rPr>
              <w:t xml:space="preserve">No </w:t>
            </w:r>
            <w:r>
              <w:rPr>
                <w:rFonts w:ascii="Consolas" w:hAnsi="Consolas"/>
                <w:sz w:val="20"/>
              </w:rPr>
              <w:t>D_h</w:t>
            </w:r>
            <w:r>
              <w:rPr>
                <w:sz w:val="20"/>
              </w:rPr>
              <w:t xml:space="preserve"> vs </w:t>
            </w:r>
            <w:r>
              <w:rPr>
                <w:rFonts w:ascii="Consolas" w:hAnsi="Consolas"/>
                <w:sz w:val="20"/>
              </w:rPr>
              <w:t>D_e</w:t>
            </w:r>
            <w:r>
              <w:rPr>
                <w:sz w:val="20"/>
              </w:rPr>
              <w:t xml:space="preserve"> distinction; known to matter for annulus/plate rows.</w:t>
            </w:r>
          </w:p>
        </w:tc>
        <w:tc>
          <w:tcPr>
            <w:tcW w:type="dxa" w:w="2880"/>
          </w:tcPr>
          <w:p>
            <w:pPr>
              <w:spacing w:line="240" w:lineRule="auto" w:after="40"/>
            </w:pPr>
            <w:r>
              <w:rPr>
                <w:sz w:val="20"/>
              </w:rPr>
            </w:r>
            <w:r>
              <w:rPr>
                <w:sz w:val="20"/>
              </w:rPr>
              <w:t>§7</w:t>
            </w:r>
          </w:p>
        </w:tc>
      </w:tr>
      <w:tr>
        <w:tc>
          <w:tcPr>
            <w:tcW w:type="dxa" w:w="2880"/>
          </w:tcPr>
          <w:p>
            <w:pPr>
              <w:spacing w:line="240" w:lineRule="auto" w:after="40"/>
            </w:pPr>
            <w:r>
              <w:rPr>
                <w:sz w:val="20"/>
              </w:rPr>
            </w:r>
            <w:r>
              <w:rPr>
                <w:sz w:val="20"/>
              </w:rPr>
              <w:t>D4</w:t>
            </w:r>
          </w:p>
        </w:tc>
        <w:tc>
          <w:tcPr>
            <w:tcW w:type="dxa" w:w="2880"/>
          </w:tcPr>
          <w:p>
            <w:pPr>
              <w:spacing w:line="240" w:lineRule="auto" w:after="40"/>
            </w:pPr>
            <w:r>
              <w:rPr>
                <w:sz w:val="20"/>
              </w:rPr>
            </w:r>
            <w:r>
              <w:rPr>
                <w:sz w:val="20"/>
              </w:rPr>
              <w:t xml:space="preserve">No wall thickness → cannot compute thermal activity </w:t>
            </w:r>
            <w:r>
              <w:rPr>
                <w:rFonts w:ascii="Consolas" w:hAnsi="Consolas"/>
                <w:sz w:val="20"/>
              </w:rPr>
              <w:t>S</w:t>
            </w:r>
            <w:r>
              <w:rPr>
                <w:sz w:val="20"/>
              </w:rPr>
              <w:t xml:space="preserve"> for pool-boiling rows.</w:t>
            </w:r>
          </w:p>
        </w:tc>
        <w:tc>
          <w:tcPr>
            <w:tcW w:type="dxa" w:w="2880"/>
          </w:tcPr>
          <w:p>
            <w:pPr>
              <w:spacing w:line="240" w:lineRule="auto" w:after="40"/>
            </w:pPr>
            <w:r>
              <w:rPr>
                <w:sz w:val="20"/>
              </w:rPr>
            </w:r>
            <w:r>
              <w:rPr>
                <w:sz w:val="20"/>
              </w:rPr>
              <w:t>§4.5</w:t>
            </w:r>
          </w:p>
        </w:tc>
      </w:tr>
      <w:tr>
        <w:tc>
          <w:tcPr>
            <w:tcW w:type="dxa" w:w="2880"/>
          </w:tcPr>
          <w:p>
            <w:pPr>
              <w:spacing w:line="240" w:lineRule="auto" w:after="40"/>
            </w:pPr>
            <w:r>
              <w:rPr>
                <w:sz w:val="20"/>
              </w:rPr>
            </w:r>
            <w:r>
              <w:rPr>
                <w:sz w:val="20"/>
              </w:rPr>
              <w:t>D5</w:t>
            </w:r>
          </w:p>
        </w:tc>
        <w:tc>
          <w:tcPr>
            <w:tcW w:type="dxa" w:w="2880"/>
          </w:tcPr>
          <w:p>
            <w:pPr>
              <w:spacing w:line="240" w:lineRule="auto" w:after="40"/>
            </w:pPr>
            <w:r>
              <w:rPr>
                <w:sz w:val="20"/>
              </w:rPr>
            </w:r>
            <w:r>
              <w:rPr>
                <w:sz w:val="20"/>
              </w:rPr>
              <w:t>No flow-instability / throttling flag, though throttling causes "significant" CHF reduction and dissolved gas up to 30%.</w:t>
            </w:r>
          </w:p>
        </w:tc>
        <w:tc>
          <w:tcPr>
            <w:tcW w:type="dxa" w:w="2880"/>
          </w:tcPr>
          <w:p>
            <w:pPr>
              <w:spacing w:line="240" w:lineRule="auto" w:after="40"/>
            </w:pPr>
            <w:r>
              <w:rPr>
                <w:sz w:val="20"/>
              </w:rPr>
            </w:r>
            <w:r>
              <w:rPr>
                <w:sz w:val="20"/>
              </w:rPr>
              <w:t>§1.4</w:t>
            </w:r>
          </w:p>
        </w:tc>
      </w:tr>
      <w:tr>
        <w:tc>
          <w:tcPr>
            <w:tcW w:type="dxa" w:w="2880"/>
          </w:tcPr>
          <w:p>
            <w:pPr>
              <w:spacing w:line="240" w:lineRule="auto" w:after="40"/>
            </w:pPr>
            <w:r>
              <w:rPr>
                <w:sz w:val="20"/>
              </w:rPr>
            </w:r>
            <w:r>
              <w:rPr>
                <w:sz w:val="20"/>
              </w:rPr>
              <w:t>D6</w:t>
            </w:r>
          </w:p>
        </w:tc>
        <w:tc>
          <w:tcPr>
            <w:tcW w:type="dxa" w:w="2880"/>
          </w:tcPr>
          <w:p>
            <w:pPr>
              <w:spacing w:line="240" w:lineRule="auto" w:after="40"/>
            </w:pPr>
            <w:r>
              <w:rPr>
                <w:sz w:val="20"/>
              </w:rPr>
            </w:r>
            <w:r>
              <w:rPr>
                <w:sz w:val="20"/>
              </w:rPr>
              <w:t>Inter-laboratory reproducibility on nominally identical test sections is ~</w:t>
            </w:r>
            <w:r>
              <w:rPr>
                <w:b/>
                <w:sz w:val="20"/>
              </w:rPr>
              <w:t>10%</w:t>
            </w:r>
            <w:r>
              <w:rPr>
                <w:sz w:val="20"/>
              </w:rPr>
              <w:t xml:space="preserve"> (European 1970 exercise, 8–10 labs; plus the U.S.S.R. 1984/85 study). </w:t>
            </w:r>
            <w:r>
              <w:rPr>
                <w:b/>
                <w:sz w:val="20"/>
              </w:rPr>
              <w:t>This is the irreducible noise floor.</w:t>
            </w:r>
            <w:r>
              <w:rPr>
                <w:sz w:val="20"/>
              </w:rPr>
              <w:t xml:space="preserve"> Any reported MAPE below ~10% on pooled multi-source data is measuring overfitting, not accuracy.</w:t>
            </w:r>
          </w:p>
        </w:tc>
        <w:tc>
          <w:tcPr>
            <w:tcW w:type="dxa" w:w="2880"/>
          </w:tcPr>
          <w:p>
            <w:pPr>
              <w:spacing w:line="240" w:lineRule="auto" w:after="40"/>
            </w:pPr>
            <w:r>
              <w:rPr>
                <w:sz w:val="20"/>
              </w:rPr>
            </w:r>
            <w:r>
              <w:rPr>
                <w:sz w:val="20"/>
              </w:rPr>
              <w:t xml:space="preserve">NUREG §2.4 </w:t>
            </w:r>
            <w:r>
              <w:rPr>
                <w:b/>
                <w:sz w:val="20"/>
              </w:rPr>
              <w:t>[V]</w:t>
            </w:r>
          </w:p>
        </w:tc>
      </w:tr>
    </w:tbl>
    <w:p/>
    <w:p>
      <w:pPr>
        <w:ind w:left="480" w:right="480"/>
      </w:pPr>
      <w:r>
        <w:rPr>
          <w:b/>
          <w:i/>
        </w:rPr>
        <w:t>D6 deserves emphasis in the paper.</w:t>
      </w:r>
      <w:r>
        <w:rPr>
          <w:i/>
        </w:rPr>
        <w:t xml:space="preserve"> Our strategy-1 random-split results (R² ≈ 0.96–0.97) sit well inside the inter-laboratory reproducibility band. That is not a triumph; it is a sign the model is fitting source-specific bias. The surface-wise and LOSO numbers, unflattering as they are, are the physically meaningful ones.</w:t>
      </w:r>
    </w:p>
    <w:p>
      <w:pPr>
        <w:jc w:val="center"/>
      </w:pPr>
      <w:r>
        <w:rPr>
          <w:sz w:val="20"/>
        </w:rPr>
        <w:t>• • •</w:t>
      </w:r>
    </w:p>
    <w:p>
      <w:pPr>
        <w:pStyle w:val="Heading2"/>
      </w:pPr>
      <w:r>
        <w:rPr>
          <w:rFonts w:ascii="Times New Roman" w:hAnsi="Times New Roman"/>
          <w:color w:val="000000"/>
        </w:rPr>
        <w:t>9. Proposed algorithm — a physics-first architecture (discussion draft)</w:t>
      </w:r>
    </w:p>
    <w:p>
      <w:pPr>
        <w:jc w:val="both"/>
      </w:pPr>
      <w:r>
        <w:t xml:space="preserve">This section is a </w:t>
      </w:r>
      <w:r>
        <w:rPr>
          <w:b/>
        </w:rPr>
        <w:t>proposal for discussion</w:t>
      </w:r>
      <w:r>
        <w:t>, not an implemented design. It follows from</w:t>
      </w:r>
    </w:p>
    <w:p>
      <w:pPr>
        <w:jc w:val="both"/>
      </w:pPr>
      <w:r>
        <w:t>§8 and from the one empirical fact our own pipeline has already established: dividing by a</w:t>
      </w:r>
    </w:p>
    <w:p>
      <w:pPr>
        <w:jc w:val="both"/>
      </w:pPr>
      <w:r>
        <w:t>physics baseline before log-space training moved strategy 3 from R² = −16.4 to +0.22 and</w:t>
      </w:r>
    </w:p>
    <w:p>
      <w:pPr>
        <w:jc w:val="both"/>
      </w:pPr>
      <w:r>
        <w:t xml:space="preserve">LOSO </w:t>
      </w:r>
      <w:r>
        <w:rPr>
          <w:rFonts w:ascii="Consolas" w:hAnsi="Consolas"/>
          <w:sz w:val="21"/>
        </w:rPr>
        <w:t>helical_coil_r123</w:t>
      </w:r>
      <w:r>
        <w:t xml:space="preserve"> from −409 to +0.24. **The physics normalisation did more than</w:t>
      </w:r>
    </w:p>
    <w:p>
      <w:pPr>
        <w:jc w:val="both"/>
      </w:pPr>
      <w:r>
        <w:t>every model-selection decision combined.** The proposal is to take that principle</w:t>
      </w:r>
    </w:p>
    <w:p>
      <w:pPr>
        <w:jc w:val="both"/>
      </w:pPr>
      <w:r>
        <w:t>further rather than to add more model capacity.</w:t>
      </w:r>
    </w:p>
    <w:p>
      <w:pPr>
        <w:pStyle w:val="Heading3"/>
      </w:pPr>
      <w:r>
        <w:rPr>
          <w:rFonts w:ascii="Times New Roman" w:hAnsi="Times New Roman"/>
          <w:color w:val="000000"/>
        </w:rPr>
        <w:t>9.1 The core idea</w:t>
      </w:r>
    </w:p>
    <w:p>
      <w:pPr>
        <w:jc w:val="both"/>
      </w:pPr>
      <w:r>
        <w:t xml:space="preserve">Stop predicting CHF. Predict a </w:t>
      </w:r>
      <w:r>
        <w:rPr>
          <w:b/>
        </w:rPr>
        <w:t>dimensionless correction to a physics scale</w:t>
      </w:r>
      <w:r>
        <w:t>:</w:t>
      </w:r>
    </w:p>
    <w:p>
      <w:pPr>
        <w:spacing w:line="240" w:lineRule="auto" w:after="200" w:before="120"/>
        <w:ind w:left="360"/>
      </w:pPr>
      <w:r>
        <w:rPr>
          <w:rFonts w:ascii="Consolas" w:hAnsi="Consolas"/>
          <w:sz w:val="18"/>
        </w:rPr>
        <w:t>CHF = Φ_physics(x) · exp( g_θ(π(x)) )</w:t>
      </w:r>
    </w:p>
    <w:p>
      <w:pPr>
        <w:pStyle w:val="ListBullet"/>
        <w:spacing w:line="360" w:lineRule="auto"/>
      </w:pPr>
      <w:r>
        <w:rPr>
          <w:rFonts w:ascii="Consolas" w:hAnsi="Consolas"/>
          <w:sz w:val="21"/>
        </w:rPr>
        <w:t>Φ_physics</w:t>
      </w:r>
      <w:r>
        <w:t xml:space="preserve"> — a closed-form, regime-dispatched physical scale, computed from CoolProp</w:t>
      </w:r>
    </w:p>
    <w:p>
      <w:pPr>
        <w:jc w:val="both"/>
      </w:pPr>
      <w:r>
        <w:t xml:space="preserve">properties with </w:t>
      </w:r>
      <w:r>
        <w:rPr>
          <w:b/>
        </w:rPr>
        <w:t>zero fitted parameters</w:t>
      </w:r>
      <w:r>
        <w:t>.</w:t>
      </w:r>
    </w:p>
    <w:p>
      <w:pPr>
        <w:pStyle w:val="ListBullet"/>
        <w:spacing w:line="360" w:lineRule="auto"/>
      </w:pPr>
      <w:r>
        <w:rPr>
          <w:rFonts w:ascii="Consolas" w:hAnsi="Consolas"/>
          <w:sz w:val="21"/>
        </w:rPr>
        <w:t>π(x)</w:t>
      </w:r>
      <w:r>
        <w:t xml:space="preserve"> — the </w:t>
      </w:r>
      <w:r>
        <w:rPr>
          <w:b/>
        </w:rPr>
        <w:t>dimensionless</w:t>
      </w:r>
      <w:r>
        <w:t xml:space="preserve"> feature vector (§2.2), never raw engineering units.</w:t>
      </w:r>
    </w:p>
    <w:p>
      <w:pPr>
        <w:pStyle w:val="ListBullet"/>
        <w:spacing w:line="360" w:lineRule="auto"/>
      </w:pPr>
      <w:r>
        <w:rPr>
          <w:rFonts w:ascii="Consolas" w:hAnsi="Consolas"/>
          <w:sz w:val="21"/>
        </w:rPr>
        <w:t>g_θ</w:t>
      </w:r>
      <w:r>
        <w:t xml:space="preserve"> — a learned, *bounded*, smooth correction in log space.</w:t>
      </w:r>
    </w:p>
    <w:p>
      <w:pPr>
        <w:jc w:val="both"/>
      </w:pPr>
      <w:r>
        <w:t>This is multiplicative, not additive — which matters, because the repo's additive</w:t>
      </w:r>
    </w:p>
    <w:p>
      <w:pPr>
        <w:jc w:val="both"/>
      </w:pPr>
      <w:r>
        <w:t>residual experiment (Approach 2) failed on Split C for exactly the reason the physics</w:t>
      </w:r>
    </w:p>
    <w:p>
      <w:pPr>
        <w:jc w:val="both"/>
      </w:pPr>
      <w:r>
        <w:t>predicts: an additive correction learned inside the domain has the wrong *magnitude* when</w:t>
      </w:r>
    </w:p>
    <w:p>
      <w:pPr>
        <w:jc w:val="both"/>
      </w:pPr>
      <w:r>
        <w:t>the baseline itself changes by an order of magnitude outside it. A multiplicative</w:t>
      </w:r>
    </w:p>
    <w:p>
      <w:pPr>
        <w:jc w:val="both"/>
      </w:pPr>
      <w:r>
        <w:t xml:space="preserve">correction is scale-free, which is why the </w:t>
      </w:r>
      <w:r>
        <w:rPr>
          <w:rFonts w:ascii="Consolas" w:hAnsi="Consolas"/>
          <w:sz w:val="21"/>
        </w:rPr>
        <w:t>log(CHF/baseline)</w:t>
      </w:r>
      <w:r>
        <w:t xml:space="preserve"> target already works.</w:t>
      </w:r>
    </w:p>
    <w:p>
      <w:pPr>
        <w:pStyle w:val="Heading3"/>
      </w:pPr>
      <w:r>
        <w:rPr>
          <w:rFonts w:ascii="Times New Roman" w:hAnsi="Times New Roman"/>
          <w:color w:val="000000"/>
        </w:rPr>
        <w:t xml:space="preserve">9.2 Layer 1 — the physics scale </w:t>
      </w:r>
      <w:r>
        <w:rPr>
          <w:rFonts w:ascii="Times New Roman" w:hAnsi="Times New Roman"/>
          <w:color w:val="000000"/>
          <w:sz w:val="21"/>
        </w:rPr>
        <w:t>Φ_physics</w:t>
      </w:r>
    </w:p>
    <w:p>
      <w:pPr>
        <w:jc w:val="both"/>
      </w:pPr>
      <w:r>
        <w:t xml:space="preserve">Regime-dispatched, with </w:t>
      </w:r>
      <w:r>
        <w:rPr>
          <w:b/>
        </w:rPr>
        <w:t>smooth blending</w:t>
      </w:r>
      <w:r>
        <w:t xml:space="preserve"> (Yagov's cube-root blend, §3.5, rather than</w:t>
      </w:r>
    </w:p>
    <w:p>
      <w:pPr>
        <w:jc w:val="both"/>
      </w:pPr>
      <w:r>
        <w:t>hard switches):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Regime</w:t>
            </w:r>
          </w:p>
        </w:tc>
        <w:tc>
          <w:tcPr>
            <w:tcW w:type="dxa" w:w="2880"/>
          </w:tcPr>
          <w:p>
            <w:pPr>
              <w:spacing w:line="240" w:lineRule="auto" w:after="40"/>
            </w:pPr>
            <w:r>
              <w:rPr>
                <w:b/>
                <w:sz w:val="20"/>
              </w:rPr>
            </w:r>
            <w:r>
              <w:rPr>
                <w:b/>
                <w:sz w:val="20"/>
              </w:rPr>
              <w:t>Scale</w:t>
            </w:r>
          </w:p>
        </w:tc>
        <w:tc>
          <w:tcPr>
            <w:tcW w:type="dxa" w:w="2880"/>
          </w:tcPr>
          <w:p>
            <w:pPr>
              <w:spacing w:line="240" w:lineRule="auto" w:after="40"/>
            </w:pPr>
            <w:r>
              <w:rPr>
                <w:b/>
                <w:sz w:val="20"/>
              </w:rPr>
            </w:r>
            <w:r>
              <w:rPr>
                <w:b/>
                <w:sz w:val="20"/>
              </w:rPr>
              <w:t>Source</w:t>
            </w:r>
          </w:p>
        </w:tc>
      </w:tr>
      <w:tr>
        <w:tc>
          <w:tcPr>
            <w:tcW w:type="dxa" w:w="2880"/>
          </w:tcPr>
          <w:p>
            <w:pPr>
              <w:spacing w:line="240" w:lineRule="auto" w:after="40"/>
            </w:pPr>
            <w:r>
              <w:rPr>
                <w:sz w:val="20"/>
              </w:rPr>
            </w:r>
            <w:r>
              <w:rPr>
                <w:sz w:val="20"/>
              </w:rPr>
              <w:t>Pool boiling, large heater</w:t>
            </w:r>
          </w:p>
        </w:tc>
        <w:tc>
          <w:tcPr>
            <w:tcW w:type="dxa" w:w="2880"/>
          </w:tcPr>
          <w:p>
            <w:pPr>
              <w:spacing w:line="240" w:lineRule="auto" w:after="40"/>
            </w:pPr>
            <w:r>
              <w:rPr>
                <w:sz w:val="20"/>
              </w:rPr>
            </w:r>
            <w:r>
              <w:rPr>
                <w:sz w:val="20"/>
              </w:rPr>
              <w:t xml:space="preserve">Zuber Eq. (15), </w:t>
            </w:r>
            <w:r>
              <w:rPr>
                <w:rFonts w:ascii="Consolas" w:hAnsi="Consolas"/>
                <w:sz w:val="20"/>
              </w:rPr>
              <w:t>K = 0.131</w:t>
            </w:r>
          </w:p>
        </w:tc>
        <w:tc>
          <w:tcPr>
            <w:tcW w:type="dxa" w:w="2880"/>
          </w:tcPr>
          <w:p>
            <w:pPr>
              <w:spacing w:line="240" w:lineRule="auto" w:after="40"/>
            </w:pPr>
            <w:r>
              <w:rPr>
                <w:sz w:val="20"/>
              </w:rPr>
            </w:r>
            <w:r>
              <w:rPr>
                <w:sz w:val="20"/>
              </w:rPr>
              <w:t>§3.2</w:t>
            </w:r>
          </w:p>
        </w:tc>
      </w:tr>
      <w:tr>
        <w:tc>
          <w:tcPr>
            <w:tcW w:type="dxa" w:w="2880"/>
          </w:tcPr>
          <w:p>
            <w:pPr>
              <w:spacing w:line="240" w:lineRule="auto" w:after="40"/>
            </w:pPr>
            <w:r>
              <w:rPr>
                <w:sz w:val="20"/>
              </w:rPr>
            </w:r>
            <w:r>
              <w:rPr>
                <w:sz w:val="20"/>
              </w:rPr>
              <w:t>Pool boiling, finite heater</w:t>
            </w:r>
          </w:p>
        </w:tc>
        <w:tc>
          <w:tcPr>
            <w:tcW w:type="dxa" w:w="2880"/>
          </w:tcPr>
          <w:p>
            <w:pPr>
              <w:spacing w:line="240" w:lineRule="auto" w:after="40"/>
            </w:pPr>
            <w:r>
              <w:rPr>
                <w:sz w:val="20"/>
              </w:rPr>
            </w:r>
            <w:r>
              <w:rPr>
                <w:sz w:val="20"/>
              </w:rPr>
              <w:t>× Lienhard–Dhir / size correction</w:t>
            </w:r>
          </w:p>
        </w:tc>
        <w:tc>
          <w:tcPr>
            <w:tcW w:type="dxa" w:w="2880"/>
          </w:tcPr>
          <w:p>
            <w:pPr>
              <w:spacing w:line="240" w:lineRule="auto" w:after="40"/>
            </w:pPr>
            <w:r>
              <w:rPr>
                <w:sz w:val="20"/>
              </w:rPr>
            </w:r>
            <w:r>
              <w:rPr>
                <w:sz w:val="20"/>
              </w:rPr>
              <w:t>§3.3</w:t>
            </w:r>
          </w:p>
        </w:tc>
      </w:tr>
      <w:tr>
        <w:tc>
          <w:tcPr>
            <w:tcW w:type="dxa" w:w="2880"/>
          </w:tcPr>
          <w:p>
            <w:pPr>
              <w:spacing w:line="240" w:lineRule="auto" w:after="40"/>
            </w:pPr>
            <w:r>
              <w:rPr>
                <w:sz w:val="20"/>
              </w:rPr>
            </w:r>
            <w:r>
              <w:rPr>
                <w:sz w:val="20"/>
              </w:rPr>
              <w:t>Pool boiling, structured surface</w:t>
            </w:r>
          </w:p>
        </w:tc>
        <w:tc>
          <w:tcPr>
            <w:tcW w:type="dxa" w:w="2880"/>
          </w:tcPr>
          <w:p>
            <w:pPr>
              <w:spacing w:line="240" w:lineRule="auto" w:after="40"/>
            </w:pPr>
            <w:r>
              <w:rPr>
                <w:sz w:val="20"/>
              </w:rPr>
            </w:r>
            <w:r>
              <w:rPr>
                <w:sz w:val="20"/>
              </w:rPr>
              <w:t xml:space="preserve">× Kandlikar </w:t>
            </w:r>
            <w:r>
              <w:rPr>
                <w:rFonts w:ascii="Consolas" w:hAnsi="Consolas"/>
                <w:sz w:val="20"/>
              </w:rPr>
              <w:t>K(α, θ)</w:t>
            </w:r>
            <w:r>
              <w:rPr>
                <w:sz w:val="20"/>
              </w:rPr>
              <w:t xml:space="preserve"> and/or Kim </w:t>
            </w:r>
            <w:r>
              <w:rPr>
                <w:rFonts w:ascii="Consolas" w:hAnsi="Consolas"/>
                <w:sz w:val="20"/>
              </w:rPr>
              <w:t>K(α, R_a, S_m)</w:t>
            </w:r>
          </w:p>
        </w:tc>
        <w:tc>
          <w:tcPr>
            <w:tcW w:type="dxa" w:w="2880"/>
          </w:tcPr>
          <w:p>
            <w:pPr>
              <w:spacing w:line="240" w:lineRule="auto" w:after="40"/>
            </w:pPr>
            <w:r>
              <w:rPr>
                <w:sz w:val="20"/>
              </w:rPr>
            </w:r>
            <w:r>
              <w:rPr>
                <w:sz w:val="20"/>
              </w:rPr>
              <w:t>§4.3, §4.2</w:t>
            </w:r>
          </w:p>
        </w:tc>
      </w:tr>
      <w:tr>
        <w:tc>
          <w:tcPr>
            <w:tcW w:type="dxa" w:w="2880"/>
          </w:tcPr>
          <w:p>
            <w:pPr>
              <w:spacing w:line="240" w:lineRule="auto" w:after="40"/>
            </w:pPr>
            <w:r>
              <w:rPr>
                <w:sz w:val="20"/>
              </w:rPr>
            </w:r>
            <w:r>
              <w:rPr>
                <w:sz w:val="20"/>
              </w:rPr>
              <w:t>Flow boiling, subcooled</w:t>
            </w:r>
          </w:p>
        </w:tc>
        <w:tc>
          <w:tcPr>
            <w:tcW w:type="dxa" w:w="2880"/>
          </w:tcPr>
          <w:p>
            <w:pPr>
              <w:spacing w:line="240" w:lineRule="auto" w:after="40"/>
            </w:pPr>
            <w:r>
              <w:rPr>
                <w:sz w:val="20"/>
              </w:rPr>
            </w:r>
            <w:r>
              <w:rPr>
                <w:sz w:val="20"/>
              </w:rPr>
              <w:t>Hall &amp; Mudawar Eq. (7)/(11)</w:t>
            </w:r>
          </w:p>
        </w:tc>
        <w:tc>
          <w:tcPr>
            <w:tcW w:type="dxa" w:w="2880"/>
          </w:tcPr>
          <w:p>
            <w:pPr>
              <w:spacing w:line="240" w:lineRule="auto" w:after="40"/>
            </w:pPr>
            <w:r>
              <w:rPr>
                <w:sz w:val="20"/>
              </w:rPr>
            </w:r>
            <w:r>
              <w:rPr>
                <w:sz w:val="20"/>
              </w:rPr>
              <w:t>§5.7</w:t>
            </w:r>
          </w:p>
        </w:tc>
      </w:tr>
      <w:tr>
        <w:tc>
          <w:tcPr>
            <w:tcW w:type="dxa" w:w="2880"/>
          </w:tcPr>
          <w:p>
            <w:pPr>
              <w:spacing w:line="240" w:lineRule="auto" w:after="40"/>
            </w:pPr>
            <w:r>
              <w:rPr>
                <w:sz w:val="20"/>
              </w:rPr>
            </w:r>
            <w:r>
              <w:rPr>
                <w:sz w:val="20"/>
              </w:rPr>
              <w:t>Flow boiling, saturated</w:t>
            </w:r>
          </w:p>
        </w:tc>
        <w:tc>
          <w:tcPr>
            <w:tcW w:type="dxa" w:w="2880"/>
          </w:tcPr>
          <w:p>
            <w:pPr>
              <w:spacing w:line="240" w:lineRule="auto" w:after="40"/>
            </w:pPr>
            <w:r>
              <w:rPr>
                <w:sz w:val="20"/>
              </w:rPr>
            </w:r>
            <w:r>
              <w:rPr>
                <w:sz w:val="20"/>
              </w:rPr>
              <w:t xml:space="preserve">Katto–Ohno Eq. (17) with the </w:t>
            </w:r>
            <w:r>
              <w:rPr>
                <w:rFonts w:ascii="Consolas" w:hAnsi="Consolas"/>
                <w:sz w:val="20"/>
              </w:rPr>
              <w:t>ρ_g/ρ_f = 0.15</w:t>
            </w:r>
            <w:r>
              <w:rPr>
                <w:sz w:val="20"/>
              </w:rPr>
              <w:t xml:space="preserve"> gate</w:t>
            </w:r>
          </w:p>
        </w:tc>
        <w:tc>
          <w:tcPr>
            <w:tcW w:type="dxa" w:w="2880"/>
          </w:tcPr>
          <w:p>
            <w:pPr>
              <w:spacing w:line="240" w:lineRule="auto" w:after="40"/>
            </w:pPr>
            <w:r>
              <w:rPr>
                <w:sz w:val="20"/>
              </w:rPr>
            </w:r>
            <w:r>
              <w:rPr>
                <w:sz w:val="20"/>
              </w:rPr>
              <w:t>§5.5</w:t>
            </w:r>
          </w:p>
        </w:tc>
      </w:tr>
      <w:tr>
        <w:tc>
          <w:tcPr>
            <w:tcW w:type="dxa" w:w="2880"/>
          </w:tcPr>
          <w:p>
            <w:pPr>
              <w:spacing w:line="240" w:lineRule="auto" w:after="40"/>
            </w:pPr>
            <w:r>
              <w:rPr>
                <w:sz w:val="20"/>
              </w:rPr>
            </w:r>
            <w:r>
              <w:rPr>
                <w:sz w:val="20"/>
              </w:rPr>
              <w:t>Helical coil</w:t>
            </w:r>
          </w:p>
        </w:tc>
        <w:tc>
          <w:tcPr>
            <w:tcW w:type="dxa" w:w="2880"/>
          </w:tcPr>
          <w:p>
            <w:pPr>
              <w:spacing w:line="240" w:lineRule="auto" w:after="40"/>
            </w:pPr>
            <w:r>
              <w:rPr>
                <w:sz w:val="20"/>
              </w:rPr>
            </w:r>
            <w:r>
              <w:rPr>
                <w:sz w:val="20"/>
              </w:rPr>
              <w:t xml:space="preserve">straight-tube scale × </w:t>
            </w:r>
            <w:r>
              <w:rPr>
                <w:rFonts w:ascii="Consolas" w:hAnsi="Consolas"/>
                <w:sz w:val="20"/>
              </w:rPr>
              <w:t>(1.637x + 0.568)</w:t>
            </w:r>
          </w:p>
        </w:tc>
        <w:tc>
          <w:tcPr>
            <w:tcW w:type="dxa" w:w="2880"/>
          </w:tcPr>
          <w:p>
            <w:pPr>
              <w:spacing w:line="240" w:lineRule="auto" w:after="40"/>
            </w:pPr>
            <w:r>
              <w:rPr>
                <w:sz w:val="20"/>
              </w:rPr>
            </w:r>
            <w:r>
              <w:rPr>
                <w:sz w:val="20"/>
              </w:rPr>
              <w:t>§6.1</w:t>
            </w:r>
          </w:p>
        </w:tc>
      </w:tr>
      <w:tr>
        <w:tc>
          <w:tcPr>
            <w:tcW w:type="dxa" w:w="2880"/>
          </w:tcPr>
          <w:p>
            <w:pPr>
              <w:spacing w:line="240" w:lineRule="auto" w:after="40"/>
            </w:pPr>
            <w:r>
              <w:rPr>
                <w:sz w:val="20"/>
              </w:rPr>
            </w:r>
            <w:r>
              <w:rPr>
                <w:sz w:val="20"/>
              </w:rPr>
              <w:t xml:space="preserve">Any tube, </w:t>
            </w:r>
            <w:r>
              <w:rPr>
                <w:rFonts w:ascii="Consolas" w:hAnsi="Consolas"/>
                <w:sz w:val="20"/>
              </w:rPr>
              <w:t>D ≠ 8mm</w:t>
            </w:r>
          </w:p>
        </w:tc>
        <w:tc>
          <w:tcPr>
            <w:tcW w:type="dxa" w:w="2880"/>
          </w:tcPr>
          <w:p>
            <w:pPr>
              <w:spacing w:line="240" w:lineRule="auto" w:after="40"/>
            </w:pPr>
            <w:r>
              <w:rPr>
                <w:sz w:val="20"/>
              </w:rPr>
            </w:r>
            <w:r>
              <w:rPr>
                <w:sz w:val="20"/>
              </w:rPr>
              <w:t xml:space="preserve">× </w:t>
            </w:r>
            <w:r>
              <w:rPr>
                <w:rFonts w:ascii="Consolas" w:hAnsi="Consolas"/>
                <w:sz w:val="20"/>
              </w:rPr>
              <w:t>K1 = (8/D)^n</w:t>
            </w:r>
            <w:r>
              <w:rPr>
                <w:sz w:val="20"/>
              </w:rPr>
              <w:t xml:space="preserve">, </w:t>
            </w:r>
            <w:r>
              <w:rPr>
                <w:rFonts w:ascii="Consolas" w:hAnsi="Consolas"/>
                <w:sz w:val="20"/>
              </w:rPr>
              <w:t>n</w:t>
            </w:r>
            <w:r>
              <w:rPr>
                <w:sz w:val="20"/>
              </w:rPr>
              <w:t xml:space="preserve"> from the Tanase regime table</w:t>
            </w:r>
          </w:p>
        </w:tc>
        <w:tc>
          <w:tcPr>
            <w:tcW w:type="dxa" w:w="2880"/>
          </w:tcPr>
          <w:p>
            <w:pPr>
              <w:spacing w:line="240" w:lineRule="auto" w:after="40"/>
            </w:pPr>
            <w:r>
              <w:rPr>
                <w:sz w:val="20"/>
              </w:rPr>
            </w:r>
            <w:r>
              <w:rPr>
                <w:sz w:val="20"/>
              </w:rPr>
              <w:t>§5.3</w:t>
            </w:r>
          </w:p>
        </w:tc>
      </w:tr>
    </w:tbl>
    <w:p/>
    <w:p>
      <w:pPr>
        <w:jc w:val="both"/>
      </w:pPr>
      <w:r>
        <w:t>Every one of these is closed-form and needs no training data for the target fluid. That</w:t>
      </w:r>
    </w:p>
    <w:p>
      <w:pPr>
        <w:jc w:val="both"/>
      </w:pPr>
      <w:r>
        <w:t>is the property that makes cross-fluid and cross-surface generalisation possible at all.</w:t>
      </w:r>
    </w:p>
    <w:p>
      <w:pPr>
        <w:pStyle w:val="Heading3"/>
      </w:pPr>
      <w:r>
        <w:rPr>
          <w:rFonts w:ascii="Times New Roman" w:hAnsi="Times New Roman"/>
          <w:color w:val="000000"/>
        </w:rPr>
        <w:t xml:space="preserve">9.3 Layer 2 — the dimensionless feature map </w:t>
      </w:r>
      <w:r>
        <w:rPr>
          <w:rFonts w:ascii="Times New Roman" w:hAnsi="Times New Roman"/>
          <w:color w:val="000000"/>
          <w:sz w:val="21"/>
        </w:rPr>
        <w:t>π(x)</w:t>
      </w:r>
    </w:p>
    <w:p>
      <w:pPr>
        <w:jc w:val="both"/>
      </w:pPr>
      <w:r>
        <w:t xml:space="preserve">Replace </w:t>
      </w:r>
      <w:r>
        <w:rPr>
          <w:rFonts w:ascii="Consolas" w:hAnsi="Consolas"/>
          <w:sz w:val="21"/>
        </w:rPr>
        <w:t>(P, G, x, D, L)</w:t>
      </w:r>
      <w:r>
        <w:t xml:space="preserve"> with:</w:t>
      </w:r>
    </w:p>
    <w:p>
      <w:pPr>
        <w:spacing w:line="240" w:lineRule="auto" w:after="200" w:before="120"/>
        <w:ind w:left="360"/>
      </w:pPr>
      <w:r>
        <w:rPr>
          <w:rFonts w:ascii="Consolas" w:hAnsi="Consolas"/>
          <w:sz w:val="18"/>
        </w:rPr>
        <w:t>π = [ Bo_ref,  We_D,  ρ_f/ρ_g,  P/P_c,  x,  L/D,  D/D_ref,</w:t>
        <w:br/>
        <w:t xml:space="preserve">      Ja = ρ_f c_p ΔT_sub/(ρ_g h_fg),</w:t>
        <w:br/>
        <w:t xml:space="preserve">      Bo_d = (ρ_f−ρ_g)g D²/σ,</w:t>
        <w:br/>
        <w:t xml:space="preserve">      d/D_coil            (curvature, coils)</w:t>
        <w:br/>
        <w:t xml:space="preserve">      cos α, θ, R_a/S_m, wicking flux   (surface, where available)</w:t>
        <w:br/>
        <w:t xml:space="preserve">      S = H√((ρc_p k)_w)  (pool boiling, where available) ]</w:t>
      </w:r>
    </w:p>
    <w:p>
      <w:pPr>
        <w:jc w:val="both"/>
      </w:pPr>
      <w:r>
        <w:t>Rationale: NUREG's own general form (§2.2) says a tube CHF correlation *is* a function of</w:t>
      </w:r>
    </w:p>
    <w:p>
      <w:pPr>
        <w:jc w:val="both"/>
      </w:pPr>
      <w:r>
        <w:rPr>
          <w:rFonts w:ascii="Consolas" w:hAnsi="Consolas"/>
          <w:sz w:val="21"/>
        </w:rPr>
        <w:t>(ρ_f/ρ_g, D^{0.5}/(σρ_f)^{0.5}, x, D/D_ref)</w:t>
      </w:r>
      <w:r>
        <w:t>. Katto–Ohno, Hall–Mudawar and Merilo are</w:t>
      </w:r>
    </w:p>
    <w:p>
      <w:pPr>
        <w:jc w:val="both"/>
      </w:pPr>
      <w:r>
        <w:t>all written in exactly this space. A model in this space can map water at 15 MPa and R123</w:t>
      </w:r>
    </w:p>
    <w:p>
      <w:pPr>
        <w:jc w:val="both"/>
      </w:pPr>
      <w:r>
        <w:t>at 1 MPa onto the same point; a model in raw units cannot.</w:t>
      </w:r>
    </w:p>
    <w:p>
      <w:pPr>
        <w:pStyle w:val="Heading3"/>
      </w:pPr>
      <w:r>
        <w:rPr>
          <w:rFonts w:ascii="Times New Roman" w:hAnsi="Times New Roman"/>
          <w:color w:val="000000"/>
        </w:rPr>
        <w:t xml:space="preserve">9.4 Layer 3 — the constrained learner </w:t>
      </w:r>
      <w:r>
        <w:rPr>
          <w:rFonts w:ascii="Times New Roman" w:hAnsi="Times New Roman"/>
          <w:color w:val="000000"/>
          <w:sz w:val="21"/>
        </w:rPr>
        <w:t>g_θ</w:t>
      </w:r>
    </w:p>
    <w:p>
      <w:pPr>
        <w:pStyle w:val="ListBullet"/>
        <w:spacing w:line="360" w:lineRule="auto"/>
      </w:pPr>
      <w:r>
        <w:rPr>
          <w:b/>
        </w:rPr>
        <w:t>Bounded output.</w:t>
      </w:r>
      <w:r>
        <w:t xml:space="preserve"> </w:t>
      </w:r>
      <w:r>
        <w:rPr>
          <w:rFonts w:ascii="Consolas" w:hAnsi="Consolas"/>
          <w:sz w:val="21"/>
        </w:rPr>
        <w:t>g_θ ∈ [−ln 3, +ln 3]</w:t>
      </w:r>
      <w:r>
        <w:t xml:space="preserve"> (a hard tanh), i.e. the correction may not</w:t>
      </w:r>
    </w:p>
    <w:p>
      <w:pPr>
        <w:jc w:val="both"/>
      </w:pPr>
      <w:r>
        <w:t>move the answer by more than ~3×. This replaces the current post-hoc</w:t>
      </w:r>
    </w:p>
    <w:p>
      <w:pPr>
        <w:jc w:val="both"/>
      </w:pPr>
      <w:r>
        <w:rPr>
          <w:rFonts w:ascii="Consolas" w:hAnsi="Consolas"/>
          <w:sz w:val="21"/>
        </w:rPr>
        <w:t>CHF_CLIP_MAX = 30,000</w:t>
      </w:r>
      <w:r>
        <w:t xml:space="preserve"> clip — which is a symptom-level fix for the ANN blow-up that</w:t>
      </w:r>
    </w:p>
    <w:p>
      <w:pPr>
        <w:jc w:val="both"/>
      </w:pPr>
      <w:r>
        <w:t>turned one fold's R² into −1,600,000 — with a structural guarantee.</w:t>
      </w:r>
    </w:p>
    <w:p>
      <w:pPr>
        <w:pStyle w:val="ListBullet"/>
        <w:spacing w:line="360" w:lineRule="auto"/>
      </w:pPr>
      <w:r>
        <w:rPr>
          <w:b/>
        </w:rPr>
        <w:t>Monotonicity in `x` (C3)</w:t>
      </w:r>
      <w:r>
        <w:t xml:space="preserve"> and in </w:t>
      </w:r>
      <w:r>
        <w:rPr>
          <w:rFonts w:ascii="Consolas" w:hAnsi="Consolas"/>
          <w:sz w:val="21"/>
        </w:rPr>
        <w:t>G</w:t>
      </w:r>
      <w:r>
        <w:t xml:space="preserve"> (C4), enforced either by a monotone architecture</w:t>
      </w:r>
    </w:p>
    <w:p>
      <w:pPr>
        <w:jc w:val="both"/>
      </w:pPr>
      <w:r>
        <w:t>(monotone lattice / constrained GBM) or by the autograd penalty already implemented in</w:t>
      </w:r>
    </w:p>
    <w:p>
      <w:pPr>
        <w:jc w:val="both"/>
      </w:pPr>
      <w:r>
        <w:t>the repo's collocation network.</w:t>
      </w:r>
    </w:p>
    <w:p>
      <w:pPr>
        <w:pStyle w:val="ListBullet"/>
        <w:spacing w:line="360" w:lineRule="auto"/>
      </w:pPr>
      <w:r>
        <w:rPr>
          <w:b/>
        </w:rPr>
        <w:t>Energy-balance consistency (C2)</w:t>
      </w:r>
      <w:r>
        <w:t xml:space="preserve"> as a training penalty on </w:t>
      </w:r>
      <w:r>
        <w:rPr>
          <w:rFonts w:ascii="Consolas" w:hAnsi="Consolas"/>
          <w:sz w:val="21"/>
        </w:rPr>
        <w:t>x_o − x_i* − 4Bo(L/D)</w:t>
      </w:r>
      <w:r>
        <w:t>.</w:t>
      </w:r>
    </w:p>
    <w:p>
      <w:pPr>
        <w:pStyle w:val="ListBullet"/>
        <w:spacing w:line="360" w:lineRule="auto"/>
      </w:pPr>
      <w:r>
        <w:rPr>
          <w:b/>
        </w:rPr>
        <w:t>Trust decay.</w:t>
      </w:r>
      <w:r>
        <w:t xml:space="preserve"> </w:t>
      </w:r>
      <w:r>
        <w:rPr>
          <w:rFonts w:ascii="Consolas" w:hAnsi="Consolas"/>
          <w:sz w:val="21"/>
        </w:rPr>
        <w:t>g_θ → 0</w:t>
      </w:r>
      <w:r>
        <w:t xml:space="preserve"> as the input moves away from the training manifold, so</w:t>
      </w:r>
    </w:p>
    <w:p>
      <w:pPr>
        <w:jc w:val="both"/>
      </w:pPr>
      <w:r>
        <w:t>predictions gracefully fall back to pure physics out-of-domain instead of extrapolating</w:t>
      </w:r>
    </w:p>
    <w:p>
      <w:pPr>
        <w:jc w:val="both"/>
      </w:pPr>
      <w:r>
        <w:t>a learned correction. This directly addresses the documented Approach-2 failure.</w:t>
      </w:r>
    </w:p>
    <w:p>
      <w:pPr>
        <w:pStyle w:val="Heading3"/>
      </w:pPr>
      <w:r>
        <w:rPr>
          <w:rFonts w:ascii="Times New Roman" w:hAnsi="Times New Roman"/>
          <w:color w:val="000000"/>
        </w:rPr>
        <w:t>9.5 Layer 4 — honest evaluation</w:t>
      </w:r>
    </w:p>
    <w:p>
      <w:pPr>
        <w:jc w:val="both"/>
      </w:pPr>
      <w:r>
        <w:t>Keep the existing four strategies, and add the §8 checks as a **physics-consistency</w:t>
      </w:r>
    </w:p>
    <w:p>
      <w:pPr>
        <w:jc w:val="both"/>
      </w:pPr>
      <w:r>
        <w:t>scorecard** reported alongside R²/RMSE/MAE/MAPE:</w:t>
      </w:r>
    </w:p>
    <w:p>
      <w:pPr>
        <w:pStyle w:val="ListBullet"/>
        <w:spacing w:line="360" w:lineRule="auto"/>
      </w:pPr>
      <w:r>
        <w:t>Fraction of predictions violating C1–C7.</w:t>
      </w:r>
    </w:p>
    <w:p>
      <w:pPr>
        <w:pStyle w:val="ListBullet"/>
        <w:spacing w:line="360" w:lineRule="auto"/>
      </w:pPr>
      <w:r>
        <w:t xml:space="preserve">Does the model reproduce the </w:t>
      </w:r>
      <w:r>
        <w:rPr>
          <w:rFonts w:ascii="Consolas" w:hAnsi="Consolas"/>
          <w:sz w:val="21"/>
        </w:rPr>
        <w:t>P/P_c ≈ 0.35</w:t>
      </w:r>
      <w:r>
        <w:t xml:space="preserve"> pool-boiling maximum? (S1)</w:t>
      </w:r>
    </w:p>
    <w:p>
      <w:pPr>
        <w:pStyle w:val="ListBullet"/>
        <w:spacing w:line="360" w:lineRule="auto"/>
      </w:pPr>
      <w:r>
        <w:t xml:space="preserve">Is predicted </w:t>
      </w:r>
      <w:r>
        <w:rPr>
          <w:rFonts w:ascii="Consolas" w:hAnsi="Consolas"/>
          <w:sz w:val="21"/>
        </w:rPr>
        <w:t>K</w:t>
      </w:r>
      <w:r>
        <w:t xml:space="preserve"> inside 0.119–0.157 for saturated pool boiling on large flat heaters? (S2)</w:t>
      </w:r>
    </w:p>
    <w:p>
      <w:pPr>
        <w:pStyle w:val="ListBullet"/>
        <w:spacing w:line="360" w:lineRule="auto"/>
      </w:pPr>
      <w:r>
        <w:t>Does the helical-coil crossover (S7) appear?</w:t>
      </w:r>
    </w:p>
    <w:p>
      <w:pPr>
        <w:pStyle w:val="ListBullet"/>
        <w:spacing w:line="360" w:lineRule="auto"/>
      </w:pPr>
      <w:r>
        <w:t xml:space="preserve">Sign of the diameter effect at low </w:t>
      </w:r>
      <w:r>
        <w:rPr>
          <w:rFonts w:ascii="Consolas" w:hAnsi="Consolas"/>
          <w:sz w:val="21"/>
        </w:rPr>
        <w:t>G</w:t>
      </w:r>
      <w:r>
        <w:t xml:space="preserve"> (S6).</w:t>
      </w:r>
    </w:p>
    <w:p>
      <w:pPr>
        <w:ind w:left="480" w:right="480"/>
      </w:pPr>
      <w:r>
        <w:rPr>
          <w:i/>
        </w:rPr>
        <w:t xml:space="preserve">A model that scores R² = 0.95 while violating C3 and missing S1 is worse than a model at R² = 0.85 that satisfies both, because only the latter can be trusted at a condition nobody has tested. </w:t>
      </w:r>
      <w:r>
        <w:rPr>
          <w:b/>
          <w:i/>
        </w:rPr>
        <w:t>That argument — not a leaderboard number — is the paper's contribution</w:t>
      </w:r>
      <w:r>
        <w:rPr>
          <w:i/>
        </w:rPr>
        <w:t>, and it maps directly onto the outline's Gap 4.</w:t>
      </w:r>
    </w:p>
    <w:p>
      <w:pPr>
        <w:pStyle w:val="Heading3"/>
      </w:pPr>
      <w:r>
        <w:rPr>
          <w:rFonts w:ascii="Times New Roman" w:hAnsi="Times New Roman"/>
          <w:color w:val="000000"/>
        </w:rPr>
        <w:t>9.6 Honest assessment of this proposal</w:t>
      </w:r>
    </w:p>
    <w:p>
      <w:pPr>
        <w:pStyle w:val="ListBullet"/>
        <w:spacing w:line="360" w:lineRule="auto"/>
      </w:pPr>
      <w:r>
        <w:t xml:space="preserve">It will </w:t>
      </w:r>
      <w:r>
        <w:rPr>
          <w:b/>
        </w:rPr>
        <w:t>almost certainly lower</w:t>
      </w:r>
      <w:r>
        <w:t xml:space="preserve"> strategy-1 (random split) scores. Constraints cost</w:t>
      </w:r>
    </w:p>
    <w:p>
      <w:pPr>
        <w:jc w:val="both"/>
      </w:pPr>
      <w:r>
        <w:t>in-distribution accuracy. That trade is the point, but it must be stated, not hidden.</w:t>
      </w:r>
    </w:p>
    <w:p>
      <w:pPr>
        <w:pStyle w:val="ListBullet"/>
        <w:spacing w:line="360" w:lineRule="auto"/>
      </w:pPr>
      <w:r>
        <w:t>It cannot manufacture the missing data (D1–D5). The surface-characteristics claims in</w:t>
      </w:r>
    </w:p>
    <w:p>
      <w:pPr>
        <w:jc w:val="both"/>
      </w:pPr>
      <w:r>
        <w:t>the outline remain unsupportable until contact angle and roughness coverage improve well</w:t>
      </w:r>
    </w:p>
    <w:p>
      <w:pPr>
        <w:jc w:val="both"/>
      </w:pPr>
      <w:r>
        <w:t>beyond 0.6%.</w:t>
      </w:r>
    </w:p>
    <w:p>
      <w:pPr>
        <w:pStyle w:val="ListBullet"/>
        <w:spacing w:line="360" w:lineRule="auto"/>
      </w:pPr>
      <w:r>
        <w:t xml:space="preserve">Several constants are still </w:t>
      </w:r>
      <w:r>
        <w:rPr>
          <w:b/>
        </w:rPr>
        <w:t>[S]</w:t>
      </w:r>
      <w:r>
        <w:t xml:space="preserve"> or </w:t>
      </w:r>
      <w:r>
        <w:rPr>
          <w:b/>
        </w:rPr>
        <w:t>[X]</w:t>
      </w:r>
      <w:r>
        <w:t xml:space="preserve"> (Katto–Ohno </w:t>
      </w:r>
      <w:r>
        <w:rPr>
          <w:rFonts w:ascii="Consolas" w:hAnsi="Consolas"/>
          <w:sz w:val="21"/>
        </w:rPr>
        <w:t>C_Kc</w:t>
      </w:r>
      <w:r>
        <w:t xml:space="preserve">, Shah's </w:t>
      </w:r>
      <w:r>
        <w:rPr>
          <w:rFonts w:ascii="Consolas" w:hAnsi="Consolas"/>
          <w:sz w:val="21"/>
        </w:rPr>
        <w:t>Y</w:t>
      </w:r>
      <w:r>
        <w:t>, Kandlikar's</w:t>
      </w:r>
    </w:p>
    <w:p>
      <w:pPr>
        <w:jc w:val="both"/>
      </w:pPr>
      <w:r>
        <w:rPr>
          <w:rFonts w:ascii="Consolas" w:hAnsi="Consolas"/>
          <w:sz w:val="21"/>
        </w:rPr>
        <w:t>K₁</w:t>
      </w:r>
      <w:r>
        <w:t>/</w:t>
      </w:r>
      <w:r>
        <w:rPr>
          <w:rFonts w:ascii="Consolas" w:hAnsi="Consolas"/>
          <w:sz w:val="21"/>
        </w:rPr>
        <w:t>K₂</w:t>
      </w:r>
      <w:r>
        <w:t>, W-3, Bowring, the Rahman wickability coefficient). These must be read from</w:t>
      </w:r>
    </w:p>
    <w:p>
      <w:pPr>
        <w:jc w:val="both"/>
      </w:pPr>
      <w:r>
        <w:t>primary sources before any of it is implemented or published.</w:t>
      </w:r>
    </w:p>
    <w:p>
      <w:pPr>
        <w:pStyle w:val="ListBullet"/>
        <w:spacing w:line="360" w:lineRule="auto"/>
      </w:pPr>
      <w:r>
        <w:t xml:space="preserve">The biggest risk is that </w:t>
      </w:r>
      <w:r>
        <w:rPr>
          <w:rFonts w:ascii="Consolas" w:hAnsi="Consolas"/>
          <w:sz w:val="21"/>
        </w:rPr>
        <w:t>Φ_physics</w:t>
      </w:r>
      <w:r>
        <w:t xml:space="preserve"> is *itself* wrong for the exotic regimes (pin-fin,</w:t>
      </w:r>
    </w:p>
    <w:p>
      <w:pPr>
        <w:jc w:val="both"/>
      </w:pPr>
      <w:r>
        <w:t>R123 coils) — in which case we have moved the error rather than removed it. The</w:t>
      </w:r>
    </w:p>
    <w:p>
      <w:pPr>
        <w:jc w:val="both"/>
      </w:pPr>
      <w:r>
        <w:t>physics-consistency scorecard is what will detect that.</w:t>
      </w:r>
    </w:p>
    <w:p>
      <w:pPr>
        <w:jc w:val="center"/>
      </w:pPr>
      <w:r>
        <w:rPr>
          <w:sz w:val="20"/>
        </w:rPr>
        <w:t>• • •</w:t>
      </w:r>
    </w:p>
    <w:p>
      <w:pPr>
        <w:pStyle w:val="Heading2"/>
      </w:pPr>
      <w:r>
        <w:rPr>
          <w:rFonts w:ascii="Times New Roman" w:hAnsi="Times New Roman"/>
          <w:color w:val="000000"/>
        </w:rPr>
        <w:t>10. Sources</w:t>
      </w:r>
    </w:p>
    <w:p>
      <w:pPr>
        <w:pStyle w:val="Heading3"/>
      </w:pPr>
      <w:r>
        <w:rPr>
          <w:rFonts w:ascii="Times New Roman" w:hAnsi="Times New Roman"/>
          <w:color w:val="000000"/>
        </w:rPr>
        <w:t>10.1 Read in full during this research (primary)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after="40"/>
            </w:pPr>
            <w:r>
              <w:rPr>
                <w:b/>
                <w:sz w:val="20"/>
              </w:rPr>
            </w:r>
            <w:r>
              <w:rPr>
                <w:b/>
                <w:sz w:val="20"/>
              </w:rPr>
              <w:t>Source</w:t>
            </w:r>
          </w:p>
        </w:tc>
        <w:tc>
          <w:tcPr>
            <w:tcW w:type="dxa" w:w="2880"/>
          </w:tcPr>
          <w:p>
            <w:pPr>
              <w:spacing w:line="240" w:lineRule="auto" w:after="40"/>
            </w:pPr>
            <w:r>
              <w:rPr>
                <w:b/>
                <w:sz w:val="20"/>
              </w:rPr>
            </w:r>
            <w:r>
              <w:rPr>
                <w:b/>
                <w:sz w:val="20"/>
              </w:rPr>
              <w:t>Location</w:t>
            </w:r>
          </w:p>
        </w:tc>
        <w:tc>
          <w:tcPr>
            <w:tcW w:type="dxa" w:w="2880"/>
          </w:tcPr>
          <w:p>
            <w:pPr>
              <w:spacing w:line="240" w:lineRule="auto" w:after="40"/>
            </w:pPr>
            <w:r>
              <w:rPr>
                <w:b/>
                <w:sz w:val="20"/>
              </w:rPr>
            </w:r>
            <w:r>
              <w:rPr>
                <w:b/>
                <w:sz w:val="20"/>
              </w:rPr>
              <w:t>What it provided</w:t>
            </w:r>
          </w:p>
        </w:tc>
      </w:tr>
      <w:tr>
        <w:tc>
          <w:tcPr>
            <w:tcW w:type="dxa" w:w="2880"/>
          </w:tcPr>
          <w:p>
            <w:pPr>
              <w:spacing w:line="240" w:lineRule="auto" w:after="40"/>
            </w:pPr>
            <w:r>
              <w:rPr>
                <w:sz w:val="20"/>
              </w:rPr>
            </w:r>
            <w:r>
              <w:rPr>
                <w:sz w:val="20"/>
              </w:rPr>
              <w:t>Liang &amp; Mudawar (2018), *IJHMT* 117:1352, "Pool boiling CHF Part 1: mechanisms, models, correlations"</w:t>
            </w:r>
          </w:p>
        </w:tc>
        <w:tc>
          <w:tcPr>
            <w:tcW w:type="dxa" w:w="2880"/>
          </w:tcPr>
          <w:p>
            <w:pPr>
              <w:spacing w:line="240" w:lineRule="auto" w:after="40"/>
            </w:pPr>
            <w:r>
              <w:rPr>
                <w:sz w:val="20"/>
              </w:rPr>
            </w:r>
            <w:r>
              <w:rPr>
                <w:sz w:val="20"/>
              </w:rPr>
              <w:t>fetched from Purdue</w:t>
            </w:r>
          </w:p>
        </w:tc>
        <w:tc>
          <w:tcPr>
            <w:tcW w:type="dxa" w:w="2880"/>
          </w:tcPr>
          <w:p>
            <w:pPr>
              <w:spacing w:line="240" w:lineRule="auto" w:after="40"/>
            </w:pPr>
            <w:r>
              <w:rPr>
                <w:sz w:val="20"/>
              </w:rPr>
            </w:r>
            <w:r>
              <w:rPr>
                <w:sz w:val="20"/>
              </w:rPr>
              <w:t>§2.1, §3 (all five mechanisms), §4 — the single richest source here</w:t>
            </w:r>
          </w:p>
        </w:tc>
      </w:tr>
      <w:tr>
        <w:tc>
          <w:tcPr>
            <w:tcW w:type="dxa" w:w="2880"/>
          </w:tcPr>
          <w:p>
            <w:pPr>
              <w:spacing w:line="240" w:lineRule="auto" w:after="40"/>
            </w:pPr>
            <w:r>
              <w:rPr>
                <w:sz w:val="20"/>
              </w:rPr>
            </w:r>
            <w:r>
              <w:rPr>
                <w:sz w:val="20"/>
              </w:rPr>
              <w:t>NUREG/KM-0011 (</w:t>
            </w:r>
            <w:r>
              <w:rPr>
                <w:rFonts w:ascii="Consolas" w:hAnsi="Consolas"/>
                <w:sz w:val="20"/>
              </w:rPr>
              <w:t>ML19029B306.pdf</w:t>
            </w:r>
            <w:r>
              <w:rPr>
                <w:sz w:val="20"/>
              </w:rPr>
              <w:t>)</w:t>
            </w:r>
          </w:p>
        </w:tc>
        <w:tc>
          <w:tcPr>
            <w:tcW w:type="dxa" w:w="2880"/>
          </w:tcPr>
          <w:p>
            <w:pPr>
              <w:spacing w:line="240" w:lineRule="auto" w:after="40"/>
            </w:pPr>
            <w:r>
              <w:rPr>
                <w:sz w:val="20"/>
              </w:rPr>
            </w:r>
            <w:r>
              <w:rPr>
                <w:rFonts w:ascii="Consolas" w:hAnsi="Consolas"/>
                <w:sz w:val="20"/>
              </w:rPr>
              <w:t>docs/references/</w:t>
            </w:r>
          </w:p>
        </w:tc>
        <w:tc>
          <w:tcPr>
            <w:tcW w:type="dxa" w:w="2880"/>
          </w:tcPr>
          <w:p>
            <w:pPr>
              <w:spacing w:line="240" w:lineRule="auto" w:after="40"/>
            </w:pPr>
            <w:r>
              <w:rPr>
                <w:sz w:val="20"/>
              </w:rPr>
            </w:r>
            <w:r>
              <w:rPr>
                <w:sz w:val="20"/>
              </w:rPr>
              <w:t>§1.1–1.4, §1.6, §2.2, §5.1, §5.2, §5.9, D6</w:t>
            </w:r>
          </w:p>
        </w:tc>
      </w:tr>
      <w:tr>
        <w:tc>
          <w:tcPr>
            <w:tcW w:type="dxa" w:w="2880"/>
          </w:tcPr>
          <w:p>
            <w:pPr>
              <w:spacing w:line="240" w:lineRule="auto" w:after="40"/>
            </w:pPr>
            <w:r>
              <w:rPr>
                <w:sz w:val="20"/>
              </w:rPr>
            </w:r>
            <w:r>
              <w:rPr>
                <w:sz w:val="20"/>
              </w:rPr>
              <w:t>Hall &amp; Mudawar (2000), *IJHMT* 43:2605, Part II subcooled correlations</w:t>
            </w:r>
          </w:p>
        </w:tc>
        <w:tc>
          <w:tcPr>
            <w:tcW w:type="dxa" w:w="2880"/>
          </w:tcPr>
          <w:p>
            <w:pPr>
              <w:spacing w:line="240" w:lineRule="auto" w:after="40"/>
            </w:pPr>
            <w:r>
              <w:rPr>
                <w:sz w:val="20"/>
              </w:rPr>
            </w:r>
            <w:r>
              <w:rPr>
                <w:sz w:val="20"/>
              </w:rPr>
              <w:t>fetched from Purdue</w:t>
            </w:r>
          </w:p>
        </w:tc>
        <w:tc>
          <w:tcPr>
            <w:tcW w:type="dxa" w:w="2880"/>
          </w:tcPr>
          <w:p>
            <w:pPr>
              <w:spacing w:line="240" w:lineRule="auto" w:after="40"/>
            </w:pPr>
            <w:r>
              <w:rPr>
                <w:sz w:val="20"/>
              </w:rPr>
            </w:r>
            <w:r>
              <w:rPr>
                <w:sz w:val="20"/>
              </w:rPr>
              <w:t>§1.5, §5.7</w:t>
            </w:r>
          </w:p>
        </w:tc>
      </w:tr>
      <w:tr>
        <w:tc>
          <w:tcPr>
            <w:tcW w:type="dxa" w:w="2880"/>
          </w:tcPr>
          <w:p>
            <w:pPr>
              <w:spacing w:line="240" w:lineRule="auto" w:after="40"/>
            </w:pPr>
            <w:r>
              <w:rPr>
                <w:sz w:val="20"/>
              </w:rPr>
            </w:r>
            <w:r>
              <w:rPr>
                <w:sz w:val="20"/>
              </w:rPr>
              <w:t>Hall &amp; Mudawar (2000), *IJHMT* 43:2573, Part I database (</w:t>
            </w:r>
            <w:r>
              <w:rPr>
                <w:rFonts w:ascii="Consolas" w:hAnsi="Consolas"/>
                <w:sz w:val="20"/>
              </w:rPr>
              <w:t>Critical_heat_Flux.pdf</w:t>
            </w:r>
            <w:r>
              <w:rPr>
                <w:sz w:val="20"/>
              </w:rPr>
              <w:t>)</w:t>
            </w:r>
          </w:p>
        </w:tc>
        <w:tc>
          <w:tcPr>
            <w:tcW w:type="dxa" w:w="2880"/>
          </w:tcPr>
          <w:p>
            <w:pPr>
              <w:spacing w:line="240" w:lineRule="auto" w:after="40"/>
            </w:pPr>
            <w:r>
              <w:rPr>
                <w:sz w:val="20"/>
              </w:rPr>
            </w:r>
            <w:r>
              <w:rPr>
                <w:rFonts w:ascii="Consolas" w:hAnsi="Consolas"/>
                <w:sz w:val="20"/>
              </w:rPr>
              <w:t>docs/references/</w:t>
            </w:r>
          </w:p>
        </w:tc>
        <w:tc>
          <w:tcPr>
            <w:tcW w:type="dxa" w:w="2880"/>
          </w:tcPr>
          <w:p>
            <w:pPr>
              <w:spacing w:line="240" w:lineRule="auto" w:after="40"/>
            </w:pPr>
            <w:r>
              <w:rPr>
                <w:sz w:val="20"/>
              </w:rPr>
            </w:r>
            <w:r>
              <w:rPr>
                <w:sz w:val="20"/>
              </w:rPr>
              <w:t>database scope, CHF definition</w:t>
            </w:r>
          </w:p>
        </w:tc>
      </w:tr>
      <w:tr>
        <w:tc>
          <w:tcPr>
            <w:tcW w:type="dxa" w:w="2880"/>
          </w:tcPr>
          <w:p>
            <w:pPr>
              <w:spacing w:line="240" w:lineRule="auto" w:after="40"/>
            </w:pPr>
            <w:r>
              <w:rPr>
                <w:sz w:val="20"/>
              </w:rPr>
            </w:r>
            <w:r>
              <w:rPr>
                <w:sz w:val="20"/>
              </w:rPr>
              <w:t>Hardik &amp; Prabhu (2017), *Appl. Therm. Eng.* 112:1223</w:t>
            </w:r>
          </w:p>
        </w:tc>
        <w:tc>
          <w:tcPr>
            <w:tcW w:type="dxa" w:w="2880"/>
          </w:tcPr>
          <w:p>
            <w:pPr>
              <w:spacing w:line="240" w:lineRule="auto" w:after="40"/>
            </w:pPr>
            <w:r>
              <w:rPr>
                <w:sz w:val="20"/>
              </w:rPr>
            </w:r>
            <w:r>
              <w:rPr>
                <w:rFonts w:ascii="Consolas" w:hAnsi="Consolas"/>
                <w:sz w:val="20"/>
              </w:rPr>
              <w:t>docs/references/</w:t>
            </w:r>
          </w:p>
        </w:tc>
        <w:tc>
          <w:tcPr>
            <w:tcW w:type="dxa" w:w="2880"/>
          </w:tcPr>
          <w:p>
            <w:pPr>
              <w:spacing w:line="240" w:lineRule="auto" w:after="40"/>
            </w:pPr>
            <w:r>
              <w:rPr>
                <w:sz w:val="20"/>
              </w:rPr>
            </w:r>
            <w:r>
              <w:rPr>
                <w:sz w:val="20"/>
              </w:rPr>
              <w:t>§6.1</w:t>
            </w:r>
          </w:p>
        </w:tc>
      </w:tr>
      <w:tr>
        <w:tc>
          <w:tcPr>
            <w:tcW w:type="dxa" w:w="2880"/>
          </w:tcPr>
          <w:p>
            <w:pPr>
              <w:spacing w:line="240" w:lineRule="auto" w:after="40"/>
            </w:pPr>
            <w:r>
              <w:rPr>
                <w:sz w:val="20"/>
              </w:rPr>
            </w:r>
            <w:r>
              <w:rPr>
                <w:sz w:val="20"/>
              </w:rPr>
              <w:t>Tanase et al. (2009), *NED* 239:289, diameter effect</w:t>
            </w:r>
          </w:p>
        </w:tc>
        <w:tc>
          <w:tcPr>
            <w:tcW w:type="dxa" w:w="2880"/>
          </w:tcPr>
          <w:p>
            <w:pPr>
              <w:spacing w:line="240" w:lineRule="auto" w:after="40"/>
            </w:pPr>
            <w:r>
              <w:rPr>
                <w:sz w:val="20"/>
              </w:rPr>
            </w:r>
            <w:r>
              <w:rPr>
                <w:rFonts w:ascii="Consolas" w:hAnsi="Consolas"/>
                <w:sz w:val="20"/>
              </w:rPr>
              <w:t>docs/references/</w:t>
            </w:r>
          </w:p>
        </w:tc>
        <w:tc>
          <w:tcPr>
            <w:tcW w:type="dxa" w:w="2880"/>
          </w:tcPr>
          <w:p>
            <w:pPr>
              <w:spacing w:line="240" w:lineRule="auto" w:after="40"/>
            </w:pPr>
            <w:r>
              <w:rPr>
                <w:sz w:val="20"/>
              </w:rPr>
            </w:r>
            <w:r>
              <w:rPr>
                <w:sz w:val="20"/>
              </w:rPr>
              <w:t>§5.3 diameter exponent table</w:t>
            </w:r>
          </w:p>
        </w:tc>
      </w:tr>
      <w:tr>
        <w:tc>
          <w:tcPr>
            <w:tcW w:type="dxa" w:w="2880"/>
          </w:tcPr>
          <w:p>
            <w:pPr>
              <w:spacing w:line="240" w:lineRule="auto" w:after="40"/>
            </w:pPr>
            <w:r>
              <w:rPr>
                <w:sz w:val="20"/>
              </w:rPr>
            </w:r>
            <w:r>
              <w:rPr>
                <w:sz w:val="20"/>
              </w:rPr>
              <w:t>Zhao, Shirvan, Salko &amp; Guo (2019), arXiv:1906.11124</w:t>
            </w:r>
          </w:p>
        </w:tc>
        <w:tc>
          <w:tcPr>
            <w:tcW w:type="dxa" w:w="2880"/>
          </w:tcPr>
          <w:p>
            <w:pPr>
              <w:spacing w:line="240" w:lineRule="auto" w:after="40"/>
            </w:pPr>
            <w:r>
              <w:rPr>
                <w:sz w:val="20"/>
              </w:rPr>
            </w:r>
            <w:r>
              <w:rPr>
                <w:sz w:val="20"/>
              </w:rPr>
              <w:t>fetched</w:t>
            </w:r>
          </w:p>
        </w:tc>
        <w:tc>
          <w:tcPr>
            <w:tcW w:type="dxa" w:w="2880"/>
          </w:tcPr>
          <w:p>
            <w:pPr>
              <w:spacing w:line="240" w:lineRule="auto" w:after="40"/>
            </w:pPr>
            <w:r>
              <w:rPr>
                <w:sz w:val="20"/>
              </w:rPr>
            </w:r>
            <w:r>
              <w:rPr>
                <w:sz w:val="20"/>
              </w:rPr>
              <w:t>§7, §5.9(3)</w:t>
            </w:r>
          </w:p>
        </w:tc>
      </w:tr>
      <w:tr>
        <w:tc>
          <w:tcPr>
            <w:tcW w:type="dxa" w:w="2880"/>
          </w:tcPr>
          <w:p>
            <w:pPr>
              <w:spacing w:line="240" w:lineRule="auto" w:after="40"/>
            </w:pPr>
            <w:r>
              <w:rPr>
                <w:sz w:val="20"/>
              </w:rPr>
            </w:r>
            <w:r>
              <w:rPr>
                <w:sz w:val="20"/>
              </w:rPr>
              <w:t>NASA NTRS 20230009827, cryogenic CHF correlations</w:t>
            </w:r>
          </w:p>
        </w:tc>
        <w:tc>
          <w:tcPr>
            <w:tcW w:type="dxa" w:w="2880"/>
          </w:tcPr>
          <w:p>
            <w:pPr>
              <w:spacing w:line="240" w:lineRule="auto" w:after="40"/>
            </w:pPr>
            <w:r>
              <w:rPr>
                <w:sz w:val="20"/>
              </w:rPr>
            </w:r>
            <w:r>
              <w:rPr>
                <w:sz w:val="20"/>
              </w:rPr>
              <w:t>fetched</w:t>
            </w:r>
          </w:p>
        </w:tc>
        <w:tc>
          <w:tcPr>
            <w:tcW w:type="dxa" w:w="2880"/>
          </w:tcPr>
          <w:p>
            <w:pPr>
              <w:spacing w:line="240" w:lineRule="auto" w:after="40"/>
            </w:pPr>
            <w:r>
              <w:rPr>
                <w:sz w:val="20"/>
              </w:rPr>
            </w:r>
            <w:r>
              <w:rPr>
                <w:sz w:val="20"/>
              </w:rPr>
              <w:t>§5.5, §5.6</w:t>
            </w:r>
          </w:p>
        </w:tc>
      </w:tr>
      <w:tr>
        <w:tc>
          <w:tcPr>
            <w:tcW w:type="dxa" w:w="2880"/>
          </w:tcPr>
          <w:p>
            <w:pPr>
              <w:spacing w:line="240" w:lineRule="auto" w:after="40"/>
            </w:pPr>
            <w:r>
              <w:rPr>
                <w:sz w:val="20"/>
              </w:rPr>
            </w:r>
            <w:r>
              <w:rPr>
                <w:sz w:val="20"/>
              </w:rPr>
              <w:t>arXiv:2203.15048, VVER rod bundle CHF methodology</w:t>
            </w:r>
          </w:p>
        </w:tc>
        <w:tc>
          <w:tcPr>
            <w:tcW w:type="dxa" w:w="2880"/>
          </w:tcPr>
          <w:p>
            <w:pPr>
              <w:spacing w:line="240" w:lineRule="auto" w:after="40"/>
            </w:pPr>
            <w:r>
              <w:rPr>
                <w:sz w:val="20"/>
              </w:rPr>
            </w:r>
            <w:r>
              <w:rPr>
                <w:sz w:val="20"/>
              </w:rPr>
              <w:t>fetched</w:t>
            </w:r>
          </w:p>
        </w:tc>
        <w:tc>
          <w:tcPr>
            <w:tcW w:type="dxa" w:w="2880"/>
          </w:tcPr>
          <w:p>
            <w:pPr>
              <w:spacing w:line="240" w:lineRule="auto" w:after="40"/>
            </w:pPr>
            <w:r>
              <w:rPr>
                <w:sz w:val="20"/>
              </w:rPr>
            </w:r>
            <w:r>
              <w:rPr>
                <w:sz w:val="20"/>
              </w:rPr>
              <w:t>§5.3 K1–K8</w:t>
            </w:r>
          </w:p>
        </w:tc>
      </w:tr>
      <w:tr>
        <w:tc>
          <w:tcPr>
            <w:tcW w:type="dxa" w:w="2880"/>
          </w:tcPr>
          <w:p>
            <w:pPr>
              <w:spacing w:line="240" w:lineRule="auto" w:after="40"/>
            </w:pPr>
            <w:r>
              <w:rPr>
                <w:sz w:val="20"/>
              </w:rPr>
            </w:r>
            <w:r>
              <w:rPr>
                <w:sz w:val="20"/>
              </w:rPr>
              <w:t>NEA/WKP(2023)1 Phase 1 CHF benchmark specs</w:t>
            </w:r>
          </w:p>
        </w:tc>
        <w:tc>
          <w:tcPr>
            <w:tcW w:type="dxa" w:w="2880"/>
          </w:tcPr>
          <w:p>
            <w:pPr>
              <w:spacing w:line="240" w:lineRule="auto" w:after="40"/>
            </w:pPr>
            <w:r>
              <w:rPr>
                <w:sz w:val="20"/>
              </w:rPr>
            </w:r>
            <w:r>
              <w:rPr>
                <w:rFonts w:ascii="Consolas" w:hAnsi="Consolas"/>
                <w:sz w:val="20"/>
              </w:rPr>
              <w:t>docs/references/</w:t>
            </w:r>
          </w:p>
        </w:tc>
        <w:tc>
          <w:tcPr>
            <w:tcW w:type="dxa" w:w="2880"/>
          </w:tcPr>
          <w:p>
            <w:pPr>
              <w:spacing w:line="240" w:lineRule="auto" w:after="40"/>
            </w:pPr>
            <w:r>
              <w:rPr>
                <w:sz w:val="20"/>
              </w:rPr>
            </w:r>
            <w:r>
              <w:rPr>
                <w:sz w:val="20"/>
              </w:rPr>
              <w:t>§7 benchmark context</w:t>
            </w:r>
          </w:p>
        </w:tc>
      </w:tr>
      <w:tr>
        <w:tc>
          <w:tcPr>
            <w:tcW w:type="dxa" w:w="2880"/>
          </w:tcPr>
          <w:p>
            <w:pPr>
              <w:spacing w:line="240" w:lineRule="auto" w:after="40"/>
            </w:pPr>
            <w:r>
              <w:rPr>
                <w:sz w:val="20"/>
              </w:rPr>
            </w:r>
            <w:r>
              <w:rPr>
                <w:sz w:val="20"/>
              </w:rPr>
              <w:t xml:space="preserve">Rashidi et al. (2022), </w:t>
            </w:r>
            <w:r>
              <w:rPr>
                <w:rFonts w:ascii="Consolas" w:hAnsi="Consolas"/>
                <w:sz w:val="20"/>
              </w:rPr>
              <w:t>Applications_ML.pdf</w:t>
            </w:r>
          </w:p>
        </w:tc>
        <w:tc>
          <w:tcPr>
            <w:tcW w:type="dxa" w:w="2880"/>
          </w:tcPr>
          <w:p>
            <w:pPr>
              <w:spacing w:line="240" w:lineRule="auto" w:after="40"/>
            </w:pPr>
            <w:r>
              <w:rPr>
                <w:sz w:val="20"/>
              </w:rPr>
            </w:r>
            <w:r>
              <w:rPr>
                <w:rFonts w:ascii="Consolas" w:hAnsi="Consolas"/>
                <w:sz w:val="20"/>
              </w:rPr>
              <w:t>docs/references/</w:t>
            </w:r>
          </w:p>
        </w:tc>
        <w:tc>
          <w:tcPr>
            <w:tcW w:type="dxa" w:w="2880"/>
          </w:tcPr>
          <w:p>
            <w:pPr>
              <w:spacing w:line="240" w:lineRule="auto" w:after="40"/>
            </w:pPr>
            <w:r>
              <w:rPr>
                <w:sz w:val="20"/>
              </w:rPr>
            </w:r>
            <w:r>
              <w:rPr>
                <w:sz w:val="20"/>
              </w:rPr>
              <w:t>ML-boiling review, dimensionless input sets</w:t>
            </w:r>
          </w:p>
        </w:tc>
      </w:tr>
      <w:tr>
        <w:tc>
          <w:tcPr>
            <w:tcW w:type="dxa" w:w="2880"/>
          </w:tcPr>
          <w:p>
            <w:pPr>
              <w:spacing w:line="240" w:lineRule="auto" w:after="40"/>
            </w:pPr>
            <w:r>
              <w:rPr>
                <w:sz w:val="20"/>
              </w:rPr>
            </w:r>
            <w:r>
              <w:rPr>
                <w:rFonts w:ascii="Consolas" w:hAnsi="Consolas"/>
                <w:sz w:val="20"/>
              </w:rPr>
              <w:t>scripts/chf_physics.py</w:t>
            </w:r>
            <w:r>
              <w:rPr>
                <w:sz w:val="20"/>
              </w:rPr>
              <w:t xml:space="preserve"> (this repo)</w:t>
            </w:r>
          </w:p>
        </w:tc>
        <w:tc>
          <w:tcPr>
            <w:tcW w:type="dxa" w:w="2880"/>
          </w:tcPr>
          <w:p>
            <w:pPr>
              <w:spacing w:line="240" w:lineRule="auto" w:after="40"/>
            </w:pPr>
            <w:r>
              <w:rPr>
                <w:sz w:val="20"/>
              </w:rPr>
            </w:r>
            <w:r>
              <w:rPr>
                <w:sz w:val="20"/>
              </w:rPr>
              <w:t>—</w:t>
            </w:r>
          </w:p>
        </w:tc>
        <w:tc>
          <w:tcPr>
            <w:tcW w:type="dxa" w:w="2880"/>
          </w:tcPr>
          <w:p>
            <w:pPr>
              <w:spacing w:line="240" w:lineRule="auto" w:after="40"/>
            </w:pPr>
            <w:r>
              <w:rPr>
                <w:sz w:val="20"/>
              </w:rPr>
            </w:r>
            <w:r>
              <w:rPr>
                <w:sz w:val="20"/>
              </w:rPr>
              <w:t>§5.4 Biasi as implemented, Zuber implementation</w:t>
            </w:r>
          </w:p>
        </w:tc>
      </w:tr>
    </w:tbl>
    <w:p/>
    <w:p>
      <w:pPr>
        <w:pStyle w:val="Heading3"/>
      </w:pPr>
      <w:r>
        <w:rPr>
          <w:rFonts w:ascii="Times New Roman" w:hAnsi="Times New Roman"/>
          <w:color w:val="000000"/>
        </w:rPr>
        <w:t>10.2 Consulted but not fully mined</w:t>
      </w:r>
    </w:p>
    <w:p>
      <w:pPr>
        <w:jc w:val="both"/>
      </w:pPr>
      <w:r>
        <w:rPr>
          <w:rFonts w:ascii="Consolas" w:hAnsi="Consolas"/>
          <w:sz w:val="21"/>
        </w:rPr>
        <w:t>CHF_Look_Up_Table.pdf</w:t>
      </w:r>
      <w:r>
        <w:t xml:space="preserve">, </w:t>
      </w:r>
      <w:r>
        <w:rPr>
          <w:rFonts w:ascii="Consolas" w:hAnsi="Consolas"/>
          <w:sz w:val="21"/>
        </w:rPr>
        <w:t>ML22264A009.pdf</w:t>
      </w:r>
      <w:r>
        <w:t xml:space="preserve"> (457 pp), </w:t>
      </w:r>
      <w:r>
        <w:rPr>
          <w:rFonts w:ascii="Consolas" w:hAnsi="Consolas"/>
          <w:sz w:val="21"/>
        </w:rPr>
        <w:t>Critical Heat Flux of Flowing Water.pdf</w:t>
      </w:r>
      <w:r>
        <w:t>,</w:t>
      </w:r>
    </w:p>
    <w:p>
      <w:pPr>
        <w:jc w:val="both"/>
      </w:pPr>
      <w:r>
        <w:rPr>
          <w:rFonts w:ascii="Consolas" w:hAnsi="Consolas"/>
          <w:sz w:val="21"/>
        </w:rPr>
        <w:t>Critical heat flux prediction through machine learning model for narrow.pdf</w:t>
      </w:r>
      <w:r>
        <w:t>,</w:t>
      </w:r>
    </w:p>
    <w:p>
      <w:pPr>
        <w:jc w:val="both"/>
      </w:pPr>
      <w:r>
        <w:rPr>
          <w:rFonts w:ascii="Consolas" w:hAnsi="Consolas"/>
          <w:sz w:val="21"/>
        </w:rPr>
        <w:t>Prediction of "critical heat flux" for supercritical water and CO2.pdf</w:t>
      </w:r>
      <w:r>
        <w:t>,</w:t>
      </w:r>
    </w:p>
    <w:p>
      <w:pPr>
        <w:jc w:val="both"/>
      </w:pPr>
      <w:r>
        <w:rPr>
          <w:rFonts w:ascii="Consolas" w:hAnsi="Consolas"/>
          <w:sz w:val="21"/>
        </w:rPr>
        <w:t>A Three-Stage Bayesian Transfer Learning Framework.pdf</w:t>
      </w:r>
      <w:r>
        <w:t>,</w:t>
      </w:r>
    </w:p>
    <w:p>
      <w:pPr>
        <w:jc w:val="both"/>
      </w:pPr>
      <w:r>
        <w:rPr>
          <w:rFonts w:ascii="Consolas" w:hAnsi="Consolas"/>
          <w:sz w:val="21"/>
        </w:rPr>
        <w:t>Boiling_pressure_drop...straight_tubes.pdf</w:t>
      </w:r>
      <w:r>
        <w:t xml:space="preserve">, </w:t>
      </w:r>
      <w:r>
        <w:rPr>
          <w:rFonts w:ascii="Consolas" w:hAnsi="Consolas"/>
          <w:sz w:val="21"/>
        </w:rPr>
        <w:t>CRITICAL_HEAT_FLUX_CHF_AND_POST-CHF_HEAT.pdf</w:t>
      </w:r>
      <w:r>
        <w:t>,</w:t>
      </w:r>
    </w:p>
    <w:p>
      <w:pPr>
        <w:jc w:val="both"/>
      </w:pPr>
      <w:r>
        <w:rPr>
          <w:rFonts w:ascii="Consolas" w:hAnsi="Consolas"/>
          <w:sz w:val="21"/>
        </w:rPr>
        <w:t>sample_reference.pdf</w:t>
      </w:r>
      <w:r>
        <w:t xml:space="preserve">, </w:t>
      </w:r>
      <w:r>
        <w:rPr>
          <w:rFonts w:ascii="Consolas" w:hAnsi="Consolas"/>
          <w:sz w:val="21"/>
        </w:rPr>
        <w:t>external_coil_tube_chf_appendix.pdf</w:t>
      </w:r>
      <w:r>
        <w:t>,</w:t>
      </w:r>
    </w:p>
    <w:p>
      <w:pPr>
        <w:jc w:val="both"/>
      </w:pPr>
      <w:r>
        <w:rPr>
          <w:rFonts w:ascii="Consolas" w:hAnsi="Consolas"/>
          <w:sz w:val="21"/>
        </w:rPr>
        <w:t>helical_coil_chf_research_data.pdf</w:t>
      </w:r>
      <w:r>
        <w:t>.</w:t>
      </w:r>
    </w:p>
    <w:p>
      <w:pPr>
        <w:jc w:val="both"/>
      </w:pPr>
      <w:r>
        <w:t>Extracted text for all of the above is in the session scratchpad; re-extract with</w:t>
      </w:r>
    </w:p>
    <w:p>
      <w:pPr>
        <w:jc w:val="both"/>
      </w:pPr>
      <w:r>
        <w:rPr>
          <w:rFonts w:ascii="Consolas" w:hAnsi="Consolas"/>
          <w:sz w:val="21"/>
        </w:rPr>
        <w:t>pypdf</w:t>
      </w:r>
      <w:r>
        <w:t xml:space="preserve"> if needed.</w:t>
      </w:r>
    </w:p>
    <w:p>
      <w:pPr>
        <w:pStyle w:val="Heading3"/>
      </w:pPr>
      <w:r>
        <w:rPr>
          <w:rFonts w:ascii="Times New Roman" w:hAnsi="Times New Roman"/>
          <w:color w:val="000000"/>
        </w:rPr>
        <w:t>10.3 Must be obtained before publication</w:t>
      </w:r>
    </w:p>
    <w:p>
      <w:pPr>
        <w:pStyle w:val="ListNumber"/>
        <w:spacing w:line="360" w:lineRule="auto"/>
      </w:pPr>
      <w:r>
        <w:rPr>
          <w:b/>
        </w:rPr>
        <w:t>Katto &amp; Ohno (1984)</w:t>
      </w:r>
      <w:r>
        <w:t xml:space="preserve">, *IJHMT* 27(9):1641 — the </w:t>
      </w:r>
      <w:r>
        <w:rPr>
          <w:rFonts w:ascii="Consolas" w:hAnsi="Consolas"/>
          <w:sz w:val="21"/>
        </w:rPr>
        <w:t>C_Kc</w:t>
      </w:r>
      <w:r>
        <w:t xml:space="preserve"> constant. </w:t>
      </w:r>
      <w:r>
        <w:rPr>
          <w:b/>
        </w:rPr>
        <w:t>[S]</w:t>
      </w:r>
    </w:p>
    <w:p>
      <w:pPr>
        <w:pStyle w:val="ListNumber"/>
        <w:spacing w:line="360" w:lineRule="auto"/>
      </w:pPr>
      <w:r>
        <w:rPr>
          <w:b/>
        </w:rPr>
        <w:t>Shah (1987)</w:t>
      </w:r>
      <w:r>
        <w:t xml:space="preserve"> — full </w:t>
      </w:r>
      <w:r>
        <w:rPr>
          <w:rFonts w:ascii="Consolas" w:hAnsi="Consolas"/>
          <w:sz w:val="21"/>
        </w:rPr>
        <w:t>Y</w:t>
      </w:r>
      <w:r>
        <w:t xml:space="preserve"> definition and Eqs. 23–36. </w:t>
      </w:r>
      <w:r>
        <w:rPr>
          <w:b/>
        </w:rPr>
        <w:t>[S]</w:t>
      </w:r>
    </w:p>
    <w:p>
      <w:pPr>
        <w:pStyle w:val="ListNumber"/>
        <w:spacing w:line="360" w:lineRule="auto"/>
      </w:pPr>
      <w:r>
        <w:rPr>
          <w:b/>
        </w:rPr>
        <w:t>Kandlikar (2001)</w:t>
      </w:r>
      <w:r>
        <w:t>, *J. Heat Transfer* 123(6):1071 — pool-boiling force balance</w:t>
      </w:r>
    </w:p>
    <w:p>
      <w:pPr>
        <w:jc w:val="both"/>
      </w:pPr>
      <w:r>
        <w:t xml:space="preserve">(the </w:t>
      </w:r>
      <w:r>
        <w:rPr>
          <w:rFonts w:ascii="Consolas" w:hAnsi="Consolas"/>
          <w:sz w:val="21"/>
        </w:rPr>
        <w:t>K</w:t>
      </w:r>
      <w:r>
        <w:t xml:space="preserve"> form in §4.3 is verified; the derivation is not). </w:t>
      </w:r>
      <w:r>
        <w:rPr>
          <w:b/>
        </w:rPr>
        <w:t>[V]</w:t>
      </w:r>
      <w:r>
        <w:t>/</w:t>
      </w:r>
      <w:r>
        <w:rPr>
          <w:b/>
        </w:rPr>
        <w:t>[S]</w:t>
      </w:r>
    </w:p>
    <w:p>
      <w:pPr>
        <w:pStyle w:val="ListNumber"/>
        <w:spacing w:line="360" w:lineRule="auto"/>
      </w:pPr>
      <w:r>
        <w:rPr>
          <w:b/>
        </w:rPr>
        <w:t>Kandlikar (2004)</w:t>
      </w:r>
      <w:r>
        <w:t xml:space="preserve">, *J. Heat Transfer* 126(1):8 — </w:t>
      </w:r>
      <w:r>
        <w:rPr>
          <w:rFonts w:ascii="Consolas" w:hAnsi="Consolas"/>
          <w:sz w:val="21"/>
        </w:rPr>
        <w:t>K₁</w:t>
      </w:r>
      <w:r>
        <w:t xml:space="preserve">, </w:t>
      </w:r>
      <w:r>
        <w:rPr>
          <w:rFonts w:ascii="Consolas" w:hAnsi="Consolas"/>
          <w:sz w:val="21"/>
        </w:rPr>
        <w:t>K₂</w:t>
      </w:r>
      <w:r>
        <w:t xml:space="preserve">, </w:t>
      </w:r>
      <w:r>
        <w:rPr>
          <w:rFonts w:ascii="Consolas" w:hAnsi="Consolas"/>
          <w:sz w:val="21"/>
        </w:rPr>
        <w:t>K₃</w:t>
      </w:r>
      <w:r>
        <w:t xml:space="preserve"> definitions. </w:t>
      </w:r>
      <w:r>
        <w:rPr>
          <w:b/>
        </w:rPr>
        <w:t>[S]</w:t>
      </w:r>
    </w:p>
    <w:p>
      <w:pPr>
        <w:pStyle w:val="ListNumber"/>
        <w:spacing w:line="360" w:lineRule="auto"/>
      </w:pPr>
      <w:r>
        <w:rPr>
          <w:b/>
        </w:rPr>
        <w:t>Tong W-3</w:t>
      </w:r>
      <w:r>
        <w:t xml:space="preserve"> and </w:t>
      </w:r>
      <w:r>
        <w:rPr>
          <w:b/>
        </w:rPr>
        <w:t>Bowring (1972) AEEW-R789</w:t>
      </w:r>
      <w:r>
        <w:t xml:space="preserve"> — full forms. </w:t>
      </w:r>
      <w:r>
        <w:rPr>
          <w:b/>
        </w:rPr>
        <w:t>[X]</w:t>
      </w:r>
    </w:p>
    <w:p>
      <w:pPr>
        <w:pStyle w:val="ListNumber"/>
        <w:spacing w:line="360" w:lineRule="auto"/>
      </w:pPr>
      <w:r>
        <w:rPr>
          <w:b/>
        </w:rPr>
        <w:t>Tong F-factor</w:t>
      </w:r>
      <w:r>
        <w:t xml:space="preserve"> for non-uniform axial flux (MIT OCW 22.313J </w:t>
      </w:r>
      <w:r>
        <w:rPr>
          <w:rFonts w:ascii="Consolas" w:hAnsi="Consolas"/>
          <w:sz w:val="21"/>
        </w:rPr>
        <w:t>chf_shape.pdf</w:t>
      </w:r>
      <w:r>
        <w:t xml:space="preserve">). </w:t>
      </w:r>
      <w:r>
        <w:rPr>
          <w:b/>
        </w:rPr>
        <w:t>[X]</w:t>
      </w:r>
    </w:p>
    <w:p>
      <w:pPr>
        <w:pStyle w:val="ListNumber"/>
        <w:spacing w:line="360" w:lineRule="auto"/>
      </w:pPr>
      <w:r>
        <w:rPr>
          <w:b/>
        </w:rPr>
        <w:t>Rahman, Ölçeroğlu &amp; McCarthy</w:t>
      </w:r>
      <w:r>
        <w:t>, *Langmuir* 2014 / *Sci. Rep.* 2017 — the linear</w:t>
      </w:r>
    </w:p>
    <w:p>
      <w:pPr>
        <w:jc w:val="both"/>
      </w:pPr>
      <w:r>
        <w:t xml:space="preserve">CHF–wickability coefficient. </w:t>
      </w:r>
      <w:r>
        <w:rPr>
          <w:b/>
        </w:rPr>
        <w:t>[S]</w:t>
      </w:r>
    </w:p>
    <w:p>
      <w:pPr>
        <w:pStyle w:val="ListNumber"/>
        <w:spacing w:line="360" w:lineRule="auto"/>
      </w:pPr>
      <w:r>
        <w:rPr>
          <w:b/>
        </w:rPr>
        <w:t>Groeneveld et al. (2007)</w:t>
      </w:r>
      <w:r>
        <w:t>, *NED* 237:1909 — the K-factor formulas as given by the</w:t>
      </w:r>
    </w:p>
    <w:p>
      <w:pPr>
        <w:jc w:val="both"/>
      </w:pPr>
      <w:r>
        <w:t>original authors (§5.3 is transcribed from a secondary source that cites IAEA-TECDOC-1203).</w:t>
      </w:r>
    </w:p>
    <w:p>
      <w:pPr>
        <w:pStyle w:val="ListNumber"/>
        <w:spacing w:line="360" w:lineRule="auto"/>
      </w:pPr>
      <w:r>
        <w:rPr>
          <w:b/>
        </w:rPr>
        <w:t>Weisman &amp; Pei (1983)</w:t>
      </w:r>
      <w:r>
        <w:t xml:space="preserve">, *IJHMT* 26(10):1463 — bubble-crowding model equations. </w:t>
      </w:r>
      <w:r>
        <w:rPr>
          <w:b/>
        </w:rPr>
        <w:t>[X]</w:t>
      </w:r>
    </w:p>
    <w:p>
      <w:pPr>
        <w:pStyle w:val="ListNumber"/>
        <w:spacing w:line="360" w:lineRule="auto"/>
      </w:pPr>
      <w:r>
        <w:rPr>
          <w:b/>
        </w:rPr>
        <w:t>Liu et al.</w:t>
      </w:r>
      <w:r>
        <w:t xml:space="preserve"> liquid sublayer dryout closures for </w:t>
      </w:r>
      <w:r>
        <w:rPr>
          <w:rFonts w:ascii="Consolas" w:hAnsi="Consolas"/>
          <w:sz w:val="21"/>
        </w:rPr>
        <w:t>δ</w:t>
      </w:r>
      <w:r>
        <w:t xml:space="preserve">, </w:t>
      </w:r>
      <w:r>
        <w:rPr>
          <w:rFonts w:ascii="Consolas" w:hAnsi="Consolas"/>
          <w:sz w:val="21"/>
        </w:rPr>
        <w:t>U_B</w:t>
      </w:r>
      <w:r>
        <w:t xml:space="preserve">, </w:t>
      </w:r>
      <w:r>
        <w:rPr>
          <w:rFonts w:ascii="Consolas" w:hAnsi="Consolas"/>
          <w:sz w:val="21"/>
        </w:rPr>
        <w:t>L_B</w:t>
      </w:r>
      <w:r>
        <w:t xml:space="preserve">. </w:t>
      </w:r>
      <w:r>
        <w:rPr>
          <w:b/>
        </w:rPr>
        <w:t>[X]</w:t>
      </w:r>
    </w:p>
    <w:p>
      <w:pPr>
        <w:pStyle w:val="Heading3"/>
      </w:pPr>
      <w:r>
        <w:rPr>
          <w:rFonts w:ascii="Times New Roman" w:hAnsi="Times New Roman"/>
          <w:color w:val="000000"/>
        </w:rPr>
        <w:t>10.4 Web sources used</w:t>
      </w:r>
    </w:p>
    <w:p>
      <w:pPr>
        <w:pStyle w:val="ListBullet"/>
        <w:spacing w:line="360" w:lineRule="auto"/>
      </w:pPr>
      <w:r>
        <w:t>Liang &amp; Mudawar pool boiling CHF review — https://engineering.purdue.edu/mudawar/files/articles-all/2018/2018-01.pdf</w:t>
      </w:r>
    </w:p>
    <w:p>
      <w:pPr>
        <w:pStyle w:val="ListBullet"/>
        <w:spacing w:line="360" w:lineRule="auto"/>
      </w:pPr>
      <w:r>
        <w:t>Hall &amp; Mudawar subcooled CHF correlations — https://engineering.purdue.edu/mudawar/files/articles-all/2000/2000_2.pdf</w:t>
      </w:r>
    </w:p>
    <w:p>
      <w:pPr>
        <w:pStyle w:val="ListBullet"/>
        <w:spacing w:line="360" w:lineRule="auto"/>
      </w:pPr>
      <w:r>
        <w:t>NASA cryogenic CHF — https://ntrs.nasa.gov/api/citations/20230009827/downloads/CHF%20Paper_submitted.pdf</w:t>
      </w:r>
    </w:p>
    <w:p>
      <w:pPr>
        <w:pStyle w:val="ListBullet"/>
        <w:spacing w:line="360" w:lineRule="auto"/>
      </w:pPr>
      <w:r>
        <w:t>VVER rod bundle CHF methodology — https://arxiv.org/pdf/2203.15048</w:t>
      </w:r>
    </w:p>
    <w:p>
      <w:pPr>
        <w:pStyle w:val="ListBullet"/>
        <w:spacing w:line="360" w:lineRule="auto"/>
      </w:pPr>
      <w:r>
        <w:t>Zhao et al. physics-informed ML CHF — https://arxiv.org/pdf/1906.11124</w:t>
      </w:r>
    </w:p>
    <w:p>
      <w:pPr>
        <w:pStyle w:val="ListBullet"/>
        <w:spacing w:line="360" w:lineRule="auto"/>
      </w:pPr>
      <w:r>
        <w:t>Kandlikar pool boiling CHF model (abstract) — https://asmedigitalcollection.asme.org/heattransfer/article-abstract/123/6/1071/445633/A-Theoretical-Model-to-Predict-Pool-Boiling-CHF</w:t>
      </w:r>
    </w:p>
    <w:p>
      <w:pPr>
        <w:pStyle w:val="ListBullet"/>
        <w:spacing w:line="360" w:lineRule="auto"/>
      </w:pPr>
      <w:r>
        <w:t>Rahman et al. wickability (abstract) — https://pubs.acs.org/doi/full/10.1021/la5030923</w:t>
      </w:r>
    </w:p>
    <w:p>
      <w:pPr>
        <w:pStyle w:val="ListBullet"/>
        <w:spacing w:line="360" w:lineRule="auto"/>
      </w:pPr>
      <w:r>
        <w:t>CHF wickability paradigm (abstract) — https://www.nature.com/articles/s41598-017-05036-2</w:t>
      </w:r>
    </w:p>
    <w:p>
      <w:pPr>
        <w:pStyle w:val="ListBullet"/>
        <w:spacing w:line="360" w:lineRule="auto"/>
      </w:pPr>
      <w:r>
        <w:t>Katto &amp; Ohno improved generalized correlation (abstract) — https://www.sciencedirect.com/science/article/abs/pii/001793108490276X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