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Machine-Learning Prediction of Critical Heat Flux — Project Record</w:t>
      </w:r>
    </w:p>
    <w:p>
      <w:pPr>
        <w:jc w:val="both"/>
      </w:pPr>
      <w:r>
        <w:rPr>
          <w:b/>
        </w:rPr>
        <w:t>B.Tech Thesis Project · Progress report to date</w:t>
      </w:r>
    </w:p>
    <w:p>
      <w:pPr>
        <w:jc w:val="both"/>
      </w:pPr>
      <w:r>
        <w:t>A complete account of the work carried out: data acquisition and extraction, cleaning and preprocessing, model development across fifteen architecture families, four validation protocols, the discovery of source-level confounding, and the physics-guided methods developed in response.</w:t>
      </w:r>
    </w:p>
    <w:p>
      <w:pPr>
        <w:jc w:val="both"/>
      </w:pPr>
      <w:r>
        <w:rPr>
          <w:b/>
        </w:rPr>
        <w:t>Scale of work:</w:t>
      </w:r>
      <w:r>
        <w:t xml:space="preserve"> 10 datasets integrated · 28,470 experimental records · 11 source publications extracted by hand · 35 reference papers reviewed · 15 model families evaluated · 13 exploratory analysis notebooks · 10 model-test notebooks</w:t>
      </w:r>
    </w:p>
    <w:p>
      <w:pPr>
        <w:jc w:val="center"/>
      </w:pPr>
      <w:r>
        <w:rPr>
          <w:sz w:val="20"/>
        </w:rPr>
        <w:t>• • •</w:t>
      </w:r>
    </w:p>
    <w:p>
      <w:pPr>
        <w:pStyle w:val="Heading2"/>
      </w:pPr>
      <w:r>
        <w:rPr>
          <w:rFonts w:ascii="Times New Roman" w:hAnsi="Times New Roman"/>
          <w:color w:val="000000"/>
        </w:rPr>
        <w:t>1. Objective and target</w:t>
      </w:r>
    </w:p>
    <w:p>
      <w:pPr>
        <w:jc w:val="both"/>
      </w:pPr>
      <w:r>
        <w:t xml:space="preserve">The objective, following the manuscript outline, is machine-learning prediction of the Critical Heat Flux (CHF) over </w:t>
      </w:r>
      <w:r>
        <w:rPr>
          <w:b/>
        </w:rPr>
        <w:t>engineered surfaces</w:t>
      </w:r>
      <w:r>
        <w:t xml:space="preserve"> under diverse thermal-hydraulic conditions, using surface characteristics — roughness, wettability, contact angle, material, orientation — alongside operating conditions, with rigorous validation and explainability. The target venue is *Nuclear Engineering and Design*.</w:t>
      </w:r>
    </w:p>
    <w:p>
      <w:pPr>
        <w:jc w:val="both"/>
      </w:pPr>
      <w:r>
        <w:t>CHF is the limiting heat-transfer condition in a water-cooled reactor. Below it, nucleate boiling removes heat efficiently; above it a vapour film blankets the surface, heat transfer collapses and cladding temperature rises rapidly. Predicting it accurately sets the thermal margin of the core, so both the accuracy and the honesty of the accuracy claim carry direct safety significance.</w:t>
      </w:r>
    </w:p>
    <w:p>
      <w:pPr>
        <w:jc w:val="both"/>
      </w:pPr>
      <w:r>
        <w:t xml:space="preserve">The closest prior art was identified early and has shaped the whole programme: </w:t>
      </w:r>
      <w:r>
        <w:rPr>
          <w:b/>
        </w:rPr>
        <w:t>Serrao et al. (2025), *Nuclear Engineering and Design* 435, 113924</w:t>
      </w:r>
      <w:r>
        <w:t xml:space="preserve"> — published in the target journal — builds a 101-point ATF pool-boiling database from 14 studies and trains SVR, Random Forest, MLP and Gaussian Process models on it, selecting Random Forest as best. Their reported validation uses a </w:t>
      </w:r>
      <w:r>
        <w:rPr>
          <w:b/>
        </w:rPr>
        <w:t>random 80/20 split</w:t>
      </w:r>
      <w:r>
        <w:t>. That single methodological detail became the pivot of this project's contribution, for reasons set out in Section 8.</w:t>
      </w:r>
    </w:p>
    <w:p>
      <w:pPr>
        <w:jc w:val="center"/>
      </w:pPr>
      <w:r>
        <w:rPr>
          <w:sz w:val="20"/>
        </w:rPr>
        <w:t>• • •</w:t>
      </w:r>
    </w:p>
    <w:p>
      <w:pPr>
        <w:pStyle w:val="Heading2"/>
      </w:pPr>
      <w:r>
        <w:rPr>
          <w:rFonts w:ascii="Times New Roman" w:hAnsi="Times New Roman"/>
          <w:color w:val="000000"/>
        </w:rPr>
        <w:t>2. Phase I — Look-up table modelling</w:t>
      </w:r>
    </w:p>
    <w:p>
      <w:pPr>
        <w:jc w:val="both"/>
      </w:pPr>
      <w:r>
        <w:t xml:space="preserve">The programme began with the </w:t>
      </w:r>
      <w:r>
        <w:rPr>
          <w:b/>
        </w:rPr>
        <w:t>2006 Groeneveld CHF look-up table</w:t>
      </w:r>
      <w:r>
        <w:t xml:space="preserve">, a standard tabulated reference giving CHF as a function of pressure, mass flux and thermodynamic quality. After cleaning this yields </w:t>
      </w:r>
      <w:r>
        <w:rPr>
          <w:b/>
        </w:rPr>
        <w:t>11,592 rows</w:t>
      </w:r>
      <w:r>
        <w:t xml:space="preserve"> on a perfectly regular 24 x 21 x 23 grid, with 504 rows at quality = 1.0 carrying CHF = 0 correctly excluded as a placeholder boundary rather than a measurement. The surviving CHF range spans 15 to 44,338 kW/m2, roughly three orders of magnitude, which is why every model in the programme is trained on log(CHF) rather than raw values.</w:t>
      </w:r>
    </w:p>
    <w:p>
      <w:pPr>
        <w:jc w:val="both"/>
      </w:pPr>
      <w:r>
        <w:t>Three validation splits were defined to probe progressively harder generalisation:</w:t>
      </w:r>
    </w:p>
    <w:p>
      <w:pPr>
        <w:pStyle w:val="ListBullet"/>
        <w:spacing w:line="360" w:lineRule="auto"/>
      </w:pPr>
      <w:r>
        <w:rPr>
          <w:b/>
        </w:rPr>
        <w:t>Split A — random.</w:t>
      </w:r>
      <w:r>
        <w:t xml:space="preserve"> Interpolation within the grid.</w:t>
      </w:r>
    </w:p>
    <w:p>
      <w:pPr>
        <w:pStyle w:val="ListBullet"/>
        <w:spacing w:line="360" w:lineRule="auto"/>
      </w:pPr>
      <w:r>
        <w:rPr>
          <w:b/>
        </w:rPr>
        <w:t>Split B — interior pressure holdout.</w:t>
      </w:r>
      <w:r>
        <w:t xml:space="preserve"> Whole interior pressure levels removed from training.</w:t>
      </w:r>
    </w:p>
    <w:p>
      <w:pPr>
        <w:pStyle w:val="ListBullet"/>
        <w:spacing w:line="360" w:lineRule="auto"/>
      </w:pPr>
      <w:r>
        <w:rPr>
          <w:b/>
        </w:rPr>
        <w:t>Split C — edge pressure extrapolation.</w:t>
      </w:r>
      <w:r>
        <w:t xml:space="preserve"> Testing beyond the trained pressure range.</w:t>
      </w:r>
    </w:p>
    <w:p>
      <w:pPr>
        <w:jc w:val="both"/>
      </w:pPr>
      <w:r>
        <w:t>Roughly thirty model configurations were evaluated across linear, polynomial ridge, k-nearest-neighbour, Random Forest, Extra Trees, XGBoost, LightGBM, Gaussian Process, multilayer perceptron, physics-feature and residual-learning families, plus a grid-interpolation baseline.</w:t>
      </w:r>
    </w:p>
    <w:p>
      <w:pPr>
        <w:pStyle w:val="Heading3"/>
      </w:pPr>
      <w:r>
        <w:rPr>
          <w:rFonts w:ascii="Times New Roman" w:hAnsi="Times New Roman"/>
          <w:color w:val="000000"/>
        </w:rPr>
        <w:t>2.1 Headline outcome and collapse under extrapolation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40" w:lineRule="auto" w:after="40"/>
            </w:pPr>
            <w:r>
              <w:rPr>
                <w:b/>
                <w:sz w:val="20"/>
              </w:rPr>
            </w:r>
            <w:r>
              <w:rPr>
                <w:b/>
                <w:sz w:val="20"/>
              </w:rPr>
              <w:t>Model</w:t>
            </w:r>
          </w:p>
        </w:tc>
        <w:tc>
          <w:tcPr>
            <w:tcW w:type="dxa" w:w="1728"/>
          </w:tcPr>
          <w:p>
            <w:pPr>
              <w:spacing w:line="240" w:lineRule="auto" w:after="40"/>
            </w:pPr>
            <w:r>
              <w:rPr>
                <w:b/>
                <w:sz w:val="20"/>
              </w:rPr>
            </w:r>
            <w:r>
              <w:rPr>
                <w:b/>
                <w:sz w:val="20"/>
              </w:rPr>
              <w:t>Split A</w:t>
            </w:r>
          </w:p>
        </w:tc>
        <w:tc>
          <w:tcPr>
            <w:tcW w:type="dxa" w:w="1728"/>
          </w:tcPr>
          <w:p>
            <w:pPr>
              <w:spacing w:line="240" w:lineRule="auto" w:after="40"/>
            </w:pPr>
            <w:r>
              <w:rPr>
                <w:b/>
                <w:sz w:val="20"/>
              </w:rPr>
            </w:r>
            <w:r>
              <w:rPr>
                <w:b/>
                <w:sz w:val="20"/>
              </w:rPr>
              <w:t>Split B</w:t>
            </w:r>
          </w:p>
        </w:tc>
        <w:tc>
          <w:tcPr>
            <w:tcW w:type="dxa" w:w="1728"/>
          </w:tcPr>
          <w:p>
            <w:pPr>
              <w:spacing w:line="240" w:lineRule="auto" w:after="40"/>
            </w:pPr>
            <w:r>
              <w:rPr>
                <w:b/>
                <w:sz w:val="20"/>
              </w:rPr>
            </w:r>
            <w:r>
              <w:rPr>
                <w:b/>
                <w:sz w:val="20"/>
              </w:rPr>
              <w:t>Split C (verified)</w:t>
            </w:r>
          </w:p>
        </w:tc>
        <w:tc>
          <w:tcPr>
            <w:tcW w:type="dxa" w:w="1728"/>
          </w:tcPr>
          <w:p>
            <w:pPr>
              <w:spacing w:line="240" w:lineRule="auto" w:after="40"/>
            </w:pPr>
            <w:r>
              <w:rPr>
                <w:b/>
                <w:sz w:val="20"/>
              </w:rPr>
            </w:r>
            <w:r>
              <w:rPr>
                <w:b/>
                <w:sz w:val="20"/>
              </w:rPr>
              <w:t>MAPE</w:t>
            </w:r>
          </w:p>
        </w:tc>
      </w:tr>
      <w:tr>
        <w:tc>
          <w:tcPr>
            <w:tcW w:type="dxa" w:w="1728"/>
          </w:tcPr>
          <w:p>
            <w:pPr>
              <w:spacing w:line="240" w:lineRule="auto" w:after="40"/>
            </w:pPr>
            <w:r>
              <w:rPr>
                <w:sz w:val="20"/>
              </w:rPr>
            </w:r>
            <w:r>
              <w:rPr>
                <w:sz w:val="20"/>
              </w:rPr>
              <w:t>Grid interpolation (physical baseline)</w:t>
            </w:r>
          </w:p>
        </w:tc>
        <w:tc>
          <w:tcPr>
            <w:tcW w:type="dxa" w:w="1728"/>
          </w:tcPr>
          <w:p>
            <w:pPr>
              <w:spacing w:line="240" w:lineRule="auto" w:after="40"/>
            </w:pPr>
            <w:r>
              <w:rPr>
                <w:sz w:val="20"/>
              </w:rPr>
            </w:r>
            <w:r>
              <w:rPr>
                <w:sz w:val="20"/>
              </w:rPr>
              <w:t>—</w:t>
            </w:r>
          </w:p>
        </w:tc>
        <w:tc>
          <w:tcPr>
            <w:tcW w:type="dxa" w:w="1728"/>
          </w:tcPr>
          <w:p>
            <w:pPr>
              <w:spacing w:line="240" w:lineRule="auto" w:after="40"/>
            </w:pPr>
            <w:r>
              <w:rPr>
                <w:sz w:val="20"/>
              </w:rPr>
            </w:r>
            <w:r>
              <w:rPr>
                <w:sz w:val="20"/>
              </w:rPr>
              <w:t>0.999</w:t>
            </w:r>
          </w:p>
        </w:tc>
        <w:tc>
          <w:tcPr>
            <w:tcW w:type="dxa" w:w="1728"/>
          </w:tcPr>
          <w:p>
            <w:pPr>
              <w:spacing w:line="240" w:lineRule="auto" w:after="40"/>
            </w:pPr>
            <w:r>
              <w:rPr>
                <w:sz w:val="20"/>
              </w:rPr>
            </w:r>
            <w:r>
              <w:rPr>
                <w:sz w:val="20"/>
              </w:rPr>
              <w:t>0.841</w:t>
            </w:r>
          </w:p>
        </w:tc>
        <w:tc>
          <w:tcPr>
            <w:tcW w:type="dxa" w:w="1728"/>
          </w:tcPr>
          <w:p>
            <w:pPr>
              <w:spacing w:line="240" w:lineRule="auto" w:after="40"/>
            </w:pPr>
            <w:r>
              <w:rPr>
                <w:sz w:val="20"/>
              </w:rPr>
            </w:r>
            <w:r>
              <w:rPr>
                <w:sz w:val="20"/>
              </w:rPr>
              <w:t>20.8%</w:t>
            </w:r>
          </w:p>
        </w:tc>
      </w:tr>
      <w:tr>
        <w:tc>
          <w:tcPr>
            <w:tcW w:type="dxa" w:w="1728"/>
          </w:tcPr>
          <w:p>
            <w:pPr>
              <w:spacing w:line="240" w:lineRule="auto" w:after="40"/>
            </w:pPr>
            <w:r>
              <w:rPr>
                <w:sz w:val="20"/>
              </w:rPr>
            </w:r>
            <w:r>
              <w:rPr>
                <w:sz w:val="20"/>
              </w:rPr>
              <w:t>Degree-2 log-ridge</w:t>
            </w:r>
          </w:p>
        </w:tc>
        <w:tc>
          <w:tcPr>
            <w:tcW w:type="dxa" w:w="1728"/>
          </w:tcPr>
          <w:p>
            <w:pPr>
              <w:spacing w:line="240" w:lineRule="auto" w:after="40"/>
            </w:pPr>
            <w:r>
              <w:rPr>
                <w:sz w:val="20"/>
              </w:rPr>
            </w:r>
            <w:r>
              <w:rPr>
                <w:sz w:val="20"/>
              </w:rPr>
              <w:t>0.847</w:t>
            </w:r>
          </w:p>
        </w:tc>
        <w:tc>
          <w:tcPr>
            <w:tcW w:type="dxa" w:w="1728"/>
          </w:tcPr>
          <w:p>
            <w:pPr>
              <w:spacing w:line="240" w:lineRule="auto" w:after="40"/>
            </w:pPr>
            <w:r>
              <w:rPr>
                <w:sz w:val="20"/>
              </w:rPr>
            </w:r>
            <w:r>
              <w:rPr>
                <w:sz w:val="20"/>
              </w:rPr>
              <w:t>0.871</w:t>
            </w:r>
          </w:p>
        </w:tc>
        <w:tc>
          <w:tcPr>
            <w:tcW w:type="dxa" w:w="1728"/>
          </w:tcPr>
          <w:p>
            <w:pPr>
              <w:spacing w:line="240" w:lineRule="auto" w:after="40"/>
            </w:pPr>
            <w:r>
              <w:rPr>
                <w:sz w:val="20"/>
              </w:rPr>
            </w:r>
            <w:r>
              <w:rPr>
                <w:sz w:val="20"/>
              </w:rPr>
              <w:t>0.755</w:t>
            </w:r>
          </w:p>
        </w:tc>
        <w:tc>
          <w:tcPr>
            <w:tcW w:type="dxa" w:w="1728"/>
          </w:tcPr>
          <w:p>
            <w:pPr>
              <w:spacing w:line="240" w:lineRule="auto" w:after="40"/>
            </w:pPr>
            <w:r>
              <w:rPr>
                <w:sz w:val="20"/>
              </w:rPr>
            </w:r>
            <w:r>
              <w:rPr>
                <w:sz w:val="20"/>
              </w:rPr>
              <w:t>35.8%</w:t>
            </w:r>
          </w:p>
        </w:tc>
      </w:tr>
      <w:tr>
        <w:tc>
          <w:tcPr>
            <w:tcW w:type="dxa" w:w="1728"/>
          </w:tcPr>
          <w:p>
            <w:pPr>
              <w:spacing w:line="240" w:lineRule="auto" w:after="40"/>
            </w:pPr>
            <w:r>
              <w:rPr>
                <w:sz w:val="20"/>
              </w:rPr>
            </w:r>
            <w:r>
              <w:rPr>
                <w:sz w:val="20"/>
              </w:rPr>
              <w:t>MLP (log target)</w:t>
            </w:r>
          </w:p>
        </w:tc>
        <w:tc>
          <w:tcPr>
            <w:tcW w:type="dxa" w:w="1728"/>
          </w:tcPr>
          <w:p>
            <w:pPr>
              <w:spacing w:line="240" w:lineRule="auto" w:after="40"/>
            </w:pPr>
            <w:r>
              <w:rPr>
                <w:sz w:val="20"/>
              </w:rPr>
            </w:r>
            <w:r>
              <w:rPr>
                <w:sz w:val="20"/>
              </w:rPr>
              <w:t>0.991</w:t>
            </w:r>
          </w:p>
        </w:tc>
        <w:tc>
          <w:tcPr>
            <w:tcW w:type="dxa" w:w="1728"/>
          </w:tcPr>
          <w:p>
            <w:pPr>
              <w:spacing w:line="240" w:lineRule="auto" w:after="40"/>
            </w:pPr>
            <w:r>
              <w:rPr>
                <w:sz w:val="20"/>
              </w:rPr>
            </w:r>
            <w:r>
              <w:rPr>
                <w:sz w:val="20"/>
              </w:rPr>
              <w:t>0.989</w:t>
            </w:r>
          </w:p>
        </w:tc>
        <w:tc>
          <w:tcPr>
            <w:tcW w:type="dxa" w:w="1728"/>
          </w:tcPr>
          <w:p>
            <w:pPr>
              <w:spacing w:line="240" w:lineRule="auto" w:after="40"/>
            </w:pPr>
            <w:r>
              <w:rPr>
                <w:sz w:val="20"/>
              </w:rPr>
            </w:r>
            <w:r>
              <w:rPr>
                <w:sz w:val="20"/>
              </w:rPr>
              <w:t>0.628 +/- 0.072</w:t>
            </w:r>
          </w:p>
        </w:tc>
        <w:tc>
          <w:tcPr>
            <w:tcW w:type="dxa" w:w="1728"/>
          </w:tcPr>
          <w:p>
            <w:pPr>
              <w:spacing w:line="240" w:lineRule="auto" w:after="40"/>
            </w:pPr>
            <w:r>
              <w:rPr>
                <w:sz w:val="20"/>
              </w:rPr>
            </w:r>
            <w:r>
              <w:rPr>
                <w:sz w:val="20"/>
              </w:rPr>
              <w:t>40.0%</w:t>
            </w:r>
          </w:p>
        </w:tc>
      </w:tr>
      <w:tr>
        <w:tc>
          <w:tcPr>
            <w:tcW w:type="dxa" w:w="1728"/>
          </w:tcPr>
          <w:p>
            <w:pPr>
              <w:spacing w:line="240" w:lineRule="auto" w:after="40"/>
            </w:pPr>
            <w:r>
              <w:rPr>
                <w:sz w:val="20"/>
              </w:rPr>
            </w:r>
            <w:r>
              <w:rPr>
                <w:sz w:val="20"/>
              </w:rPr>
              <w:t>Tree ensembles (RF / XGB / LGBM / ET)</w:t>
            </w:r>
          </w:p>
        </w:tc>
        <w:tc>
          <w:tcPr>
            <w:tcW w:type="dxa" w:w="1728"/>
          </w:tcPr>
          <w:p>
            <w:pPr>
              <w:spacing w:line="240" w:lineRule="auto" w:after="40"/>
            </w:pPr>
            <w:r>
              <w:rPr>
                <w:sz w:val="20"/>
              </w:rPr>
            </w:r>
            <w:r>
              <w:rPr>
                <w:sz w:val="20"/>
              </w:rPr>
              <w:t>0.999</w:t>
            </w:r>
          </w:p>
        </w:tc>
        <w:tc>
          <w:tcPr>
            <w:tcW w:type="dxa" w:w="1728"/>
          </w:tcPr>
          <w:p>
            <w:pPr>
              <w:spacing w:line="240" w:lineRule="auto" w:after="40"/>
            </w:pPr>
            <w:r>
              <w:rPr>
                <w:sz w:val="20"/>
              </w:rPr>
            </w:r>
            <w:r>
              <w:rPr>
                <w:sz w:val="20"/>
              </w:rPr>
              <w:t>0.988</w:t>
            </w:r>
          </w:p>
        </w:tc>
        <w:tc>
          <w:tcPr>
            <w:tcW w:type="dxa" w:w="1728"/>
          </w:tcPr>
          <w:p>
            <w:pPr>
              <w:spacing w:line="240" w:lineRule="auto" w:after="40"/>
            </w:pPr>
            <w:r>
              <w:rPr>
                <w:sz w:val="20"/>
              </w:rPr>
            </w:r>
            <w:r>
              <w:rPr>
                <w:sz w:val="20"/>
              </w:rPr>
              <w:t>~0.43</w:t>
            </w:r>
          </w:p>
        </w:tc>
        <w:tc>
          <w:tcPr>
            <w:tcW w:type="dxa" w:w="1728"/>
          </w:tcPr>
          <w:p>
            <w:pPr>
              <w:spacing w:line="240" w:lineRule="auto" w:after="40"/>
            </w:pPr>
            <w:r>
              <w:rPr>
                <w:sz w:val="20"/>
              </w:rPr>
            </w:r>
            <w:r>
              <w:rPr>
                <w:sz w:val="20"/>
              </w:rPr>
              <w:t>~42%</w:t>
            </w:r>
          </w:p>
        </w:tc>
      </w:tr>
      <w:tr>
        <w:tc>
          <w:tcPr>
            <w:tcW w:type="dxa" w:w="1728"/>
          </w:tcPr>
          <w:p>
            <w:pPr>
              <w:spacing w:line="240" w:lineRule="auto" w:after="40"/>
            </w:pPr>
            <w:r>
              <w:rPr>
                <w:sz w:val="20"/>
              </w:rPr>
            </w:r>
            <w:r>
              <w:rPr>
                <w:sz w:val="20"/>
              </w:rPr>
              <w:t>Pressure-gated blend (raw MLP)</w:t>
            </w:r>
          </w:p>
        </w:tc>
        <w:tc>
          <w:tcPr>
            <w:tcW w:type="dxa" w:w="1728"/>
          </w:tcPr>
          <w:p>
            <w:pPr>
              <w:spacing w:line="240" w:lineRule="auto" w:after="40"/>
            </w:pPr>
            <w:r>
              <w:rPr>
                <w:sz w:val="20"/>
              </w:rPr>
            </w:r>
            <w:r>
              <w:rPr>
                <w:sz w:val="20"/>
              </w:rPr>
              <w:t>0.999</w:t>
            </w:r>
          </w:p>
        </w:tc>
        <w:tc>
          <w:tcPr>
            <w:tcW w:type="dxa" w:w="1728"/>
          </w:tcPr>
          <w:p>
            <w:pPr>
              <w:spacing w:line="240" w:lineRule="auto" w:after="40"/>
            </w:pPr>
            <w:r>
              <w:rPr>
                <w:sz w:val="20"/>
              </w:rPr>
            </w:r>
            <w:r>
              <w:rPr>
                <w:sz w:val="20"/>
              </w:rPr>
              <w:t>0.999</w:t>
            </w:r>
          </w:p>
        </w:tc>
        <w:tc>
          <w:tcPr>
            <w:tcW w:type="dxa" w:w="1728"/>
          </w:tcPr>
          <w:p>
            <w:pPr>
              <w:spacing w:line="240" w:lineRule="auto" w:after="40"/>
            </w:pPr>
            <w:r>
              <w:rPr>
                <w:sz w:val="20"/>
              </w:rPr>
            </w:r>
            <w:r>
              <w:rPr>
                <w:sz w:val="20"/>
              </w:rPr>
              <w:t>0.466 +/- 0.228</w:t>
            </w:r>
          </w:p>
        </w:tc>
        <w:tc>
          <w:tcPr>
            <w:tcW w:type="dxa" w:w="1728"/>
          </w:tcPr>
          <w:p>
            <w:pPr>
              <w:spacing w:line="240" w:lineRule="auto" w:after="40"/>
            </w:pPr>
            <w:r>
              <w:rPr>
                <w:sz w:val="20"/>
              </w:rPr>
            </w:r>
            <w:r>
              <w:rPr>
                <w:sz w:val="20"/>
              </w:rPr>
              <w:t>67.1%</w:t>
            </w:r>
          </w:p>
        </w:tc>
      </w:tr>
    </w:tbl>
    <w:p/>
    <w:p>
      <w:pPr>
        <w:jc w:val="both"/>
      </w:pPr>
      <w:r>
        <w:t>Split C values are means over 30 independent seeds where the model is stochastic. Grid interpolation and ridge are deterministic.</w:t>
      </w:r>
    </w:p>
    <w:p>
      <w:pPr>
        <w:pStyle w:val="Heading3"/>
      </w:pPr>
      <w:r>
        <w:rPr>
          <w:rFonts w:ascii="Times New Roman" w:hAnsi="Times New Roman"/>
          <w:color w:val="000000"/>
        </w:rPr>
        <w:t>2.2 Retraction recorded during this phase</w:t>
      </w:r>
    </w:p>
    <w:p>
      <w:pPr>
        <w:jc w:val="both"/>
      </w:pPr>
      <w:r>
        <w:t xml:space="preserve">An earlier version of the internal review ranked the pressure-gated blend first at </w:t>
      </w:r>
      <w:r>
        <w:rPr>
          <w:b/>
        </w:rPr>
        <w:t>R2 = 0.855</w:t>
      </w:r>
      <w:r>
        <w:t xml:space="preserve"> on Split C. Independent multi-seed verification showed this to be a single-seed artefact: across 30 seeds the driving model averaged </w:t>
      </w:r>
      <w:r>
        <w:rPr>
          <w:b/>
        </w:rPr>
        <w:t>0.547</w:t>
      </w:r>
      <w:r>
        <w:t>, and not one seed reached 0.84. The claim was withdrawn and the verification script retained in the repository. Two implementation bugs were also found and fixed in the same pass, including a Split B definition that silently selected the topmost pressure level rather than an interior one.</w:t>
      </w:r>
    </w:p>
    <w:p>
      <w:pPr>
        <w:jc w:val="both"/>
      </w:pPr>
      <w:r>
        <w:t xml:space="preserve">The durable finding from Phase I is the </w:t>
      </w:r>
      <w:r>
        <w:rPr>
          <w:b/>
        </w:rPr>
        <w:t>tree-collapse contrast</w:t>
      </w:r>
      <w:r>
        <w:t>: models scoring 0.999 under random splitting fall to roughly 0.43 under pressure extrapolation, while a simple deterministic grid interpolation holds 0.841. This was the first evidence that headline accuracy under random splits is a poor guide to real generalisation — a theme that recurs decisively in Section 8.</w:t>
      </w:r>
    </w:p>
    <w:p>
      <w:pPr>
        <w:jc w:val="center"/>
      </w:pPr>
      <w:r>
        <w:rPr>
          <w:sz w:val="20"/>
        </w:rPr>
        <w:t>• • •</w:t>
      </w:r>
    </w:p>
    <w:p>
      <w:pPr>
        <w:pStyle w:val="Heading2"/>
      </w:pPr>
      <w:r>
        <w:rPr>
          <w:rFonts w:ascii="Times New Roman" w:hAnsi="Times New Roman"/>
          <w:color w:val="000000"/>
        </w:rPr>
        <w:t>3. Phase II — Physics-informed neural networks</w:t>
      </w:r>
    </w:p>
    <w:p>
      <w:pPr>
        <w:jc w:val="both"/>
      </w:pPr>
      <w:r>
        <w:t>Following the extrapolation failures, physics-informed neural networks were developed to test whether soft physical constraints could stabilise the models. Penalties were imposed on collocation points sampled across the operating domain:</w:t>
      </w:r>
    </w:p>
    <w:p>
      <w:pPr>
        <w:pStyle w:val="ListBullet"/>
        <w:spacing w:line="360" w:lineRule="auto"/>
      </w:pPr>
      <w:r>
        <w:rPr>
          <w:b/>
        </w:rPr>
        <w:t>Monotonicity penalty</w:t>
      </w:r>
      <w:r>
        <w:t xml:space="preserve"> — CHF must not increase with thermodynamic quality.</w:t>
      </w:r>
    </w:p>
    <w:p>
      <w:pPr>
        <w:pStyle w:val="ListBullet"/>
        <w:spacing w:line="360" w:lineRule="auto"/>
      </w:pPr>
      <w:r>
        <w:rPr>
          <w:b/>
        </w:rPr>
        <w:t>Zuber pressure-trend penalty</w:t>
      </w:r>
      <w:r>
        <w:t xml:space="preserve"> — predictions must follow the hydrodynamic-limit trend with pressure.</w:t>
      </w:r>
    </w:p>
    <w:p>
      <w:pPr>
        <w:pStyle w:val="ListBullet"/>
        <w:spacing w:line="360" w:lineRule="auto"/>
      </w:pPr>
      <w:r>
        <w:rPr>
          <w:b/>
        </w:rPr>
        <w:t>Positivity</w:t>
      </w:r>
      <w:r>
        <w:t xml:space="preserve"> — CHF must remain physically positive.</w:t>
      </w:r>
    </w:p>
    <w:p>
      <w:pPr>
        <w:jc w:val="both"/>
      </w:pPr>
      <w:r>
        <w:t>A three-tier hyperparameter search was executed on cloud GPU infrastructure, covering architecture depth, activation function, target parameterisation (direct versus residual), penalty weights, collocation count and learning rate.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after="40"/>
            </w:pPr>
            <w:r>
              <w:rPr>
                <w:b/>
                <w:sz w:val="20"/>
              </w:rPr>
            </w:r>
            <w:r>
              <w:rPr>
                <w:b/>
                <w:sz w:val="20"/>
              </w:rPr>
              <w:t>Tier</w:t>
            </w:r>
          </w:p>
        </w:tc>
        <w:tc>
          <w:tcPr>
            <w:tcW w:type="dxa" w:w="2160"/>
          </w:tcPr>
          <w:p>
            <w:pPr>
              <w:spacing w:line="240" w:lineRule="auto" w:after="40"/>
            </w:pPr>
            <w:r>
              <w:rPr>
                <w:b/>
                <w:sz w:val="20"/>
              </w:rPr>
            </w:r>
            <w:r>
              <w:rPr>
                <w:b/>
                <w:sz w:val="20"/>
              </w:rPr>
              <w:t>Configuration explored</w:t>
            </w:r>
          </w:p>
        </w:tc>
        <w:tc>
          <w:tcPr>
            <w:tcW w:type="dxa" w:w="2160"/>
          </w:tcPr>
          <w:p>
            <w:pPr>
              <w:spacing w:line="240" w:lineRule="auto" w:after="40"/>
            </w:pPr>
            <w:r>
              <w:rPr>
                <w:b/>
                <w:sz w:val="20"/>
              </w:rPr>
            </w:r>
            <w:r>
              <w:rPr>
                <w:b/>
                <w:sz w:val="20"/>
              </w:rPr>
              <w:t>Best ensemble R2 (raw)</w:t>
            </w:r>
          </w:p>
        </w:tc>
        <w:tc>
          <w:tcPr>
            <w:tcW w:type="dxa" w:w="2160"/>
          </w:tcPr>
          <w:p>
            <w:pPr>
              <w:spacing w:line="240" w:lineRule="auto" w:after="40"/>
            </w:pPr>
            <w:r>
              <w:rPr>
                <w:b/>
                <w:sz w:val="20"/>
              </w:rPr>
            </w:r>
            <w:r>
              <w:rPr>
                <w:b/>
                <w:sz w:val="20"/>
              </w:rPr>
              <w:t>Log R2</w:t>
            </w:r>
          </w:p>
        </w:tc>
      </w:tr>
      <w:tr>
        <w:tc>
          <w:tcPr>
            <w:tcW w:type="dxa" w:w="2160"/>
          </w:tcPr>
          <w:p>
            <w:pPr>
              <w:spacing w:line="240" w:lineRule="auto" w:after="40"/>
            </w:pPr>
            <w:r>
              <w:rPr>
                <w:sz w:val="20"/>
              </w:rPr>
            </w:r>
            <w:r>
              <w:rPr>
                <w:sz w:val="20"/>
              </w:rPr>
              <w:t>Tier 1</w:t>
            </w:r>
          </w:p>
        </w:tc>
        <w:tc>
          <w:tcPr>
            <w:tcW w:type="dxa" w:w="2160"/>
          </w:tcPr>
          <w:p>
            <w:pPr>
              <w:spacing w:line="240" w:lineRule="auto" w:after="40"/>
            </w:pPr>
            <w:r>
              <w:rPr>
                <w:sz w:val="20"/>
              </w:rPr>
            </w:r>
            <w:r>
              <w:rPr>
                <w:sz w:val="20"/>
              </w:rPr>
              <w:t>Architecture and monotonicity weight; best (16,8), lambda_mono = 0.3</w:t>
            </w:r>
          </w:p>
        </w:tc>
        <w:tc>
          <w:tcPr>
            <w:tcW w:type="dxa" w:w="2160"/>
          </w:tcPr>
          <w:p>
            <w:pPr>
              <w:spacing w:line="240" w:lineRule="auto" w:after="40"/>
            </w:pPr>
            <w:r>
              <w:rPr>
                <w:sz w:val="20"/>
              </w:rPr>
            </w:r>
            <w:r>
              <w:rPr>
                <w:sz w:val="20"/>
              </w:rPr>
              <w:t>0.732</w:t>
            </w:r>
          </w:p>
        </w:tc>
        <w:tc>
          <w:tcPr>
            <w:tcW w:type="dxa" w:w="2160"/>
          </w:tcPr>
          <w:p>
            <w:pPr>
              <w:spacing w:line="240" w:lineRule="auto" w:after="40"/>
            </w:pPr>
            <w:r>
              <w:rPr>
                <w:sz w:val="20"/>
              </w:rPr>
            </w:r>
            <w:r>
              <w:rPr>
                <w:sz w:val="20"/>
              </w:rPr>
              <w:t>0.843</w:t>
            </w:r>
          </w:p>
        </w:tc>
      </w:tr>
      <w:tr>
        <w:tc>
          <w:tcPr>
            <w:tcW w:type="dxa" w:w="2160"/>
          </w:tcPr>
          <w:p>
            <w:pPr>
              <w:spacing w:line="240" w:lineRule="auto" w:after="40"/>
            </w:pPr>
            <w:r>
              <w:rPr>
                <w:sz w:val="20"/>
              </w:rPr>
            </w:r>
            <w:r>
              <w:rPr>
                <w:sz w:val="20"/>
              </w:rPr>
              <w:t>Tier 2</w:t>
            </w:r>
          </w:p>
        </w:tc>
        <w:tc>
          <w:tcPr>
            <w:tcW w:type="dxa" w:w="2160"/>
          </w:tcPr>
          <w:p>
            <w:pPr>
              <w:spacing w:line="240" w:lineRule="auto" w:after="40"/>
            </w:pPr>
            <w:r>
              <w:rPr>
                <w:sz w:val="20"/>
              </w:rPr>
            </w:r>
            <w:r>
              <w:rPr>
                <w:sz w:val="20"/>
              </w:rPr>
              <w:t>Plus Zuber penalty lambda = 0.1, tanh activation, direct target</w:t>
            </w:r>
          </w:p>
        </w:tc>
        <w:tc>
          <w:tcPr>
            <w:tcW w:type="dxa" w:w="2160"/>
          </w:tcPr>
          <w:p>
            <w:pPr>
              <w:spacing w:line="240" w:lineRule="auto" w:after="40"/>
            </w:pPr>
            <w:r>
              <w:rPr>
                <w:sz w:val="20"/>
              </w:rPr>
            </w:r>
            <w:r>
              <w:rPr>
                <w:sz w:val="20"/>
              </w:rPr>
              <w:t>0.770</w:t>
            </w:r>
          </w:p>
        </w:tc>
        <w:tc>
          <w:tcPr>
            <w:tcW w:type="dxa" w:w="2160"/>
          </w:tcPr>
          <w:p>
            <w:pPr>
              <w:spacing w:line="240" w:lineRule="auto" w:after="40"/>
            </w:pPr>
            <w:r>
              <w:rPr>
                <w:sz w:val="20"/>
              </w:rPr>
            </w:r>
            <w:r>
              <w:rPr>
                <w:sz w:val="20"/>
              </w:rPr>
              <w:t>—</w:t>
            </w:r>
          </w:p>
        </w:tc>
      </w:tr>
      <w:tr>
        <w:tc>
          <w:tcPr>
            <w:tcW w:type="dxa" w:w="2160"/>
          </w:tcPr>
          <w:p>
            <w:pPr>
              <w:spacing w:line="240" w:lineRule="auto" w:after="40"/>
            </w:pPr>
            <w:r>
              <w:rPr>
                <w:sz w:val="20"/>
              </w:rPr>
            </w:r>
            <w:r>
              <w:rPr>
                <w:sz w:val="20"/>
              </w:rPr>
              <w:t>Tier 2b</w:t>
            </w:r>
          </w:p>
        </w:tc>
        <w:tc>
          <w:tcPr>
            <w:tcW w:type="dxa" w:w="2160"/>
          </w:tcPr>
          <w:p>
            <w:pPr>
              <w:spacing w:line="240" w:lineRule="auto" w:after="40"/>
            </w:pPr>
            <w:r>
              <w:rPr>
                <w:sz w:val="20"/>
              </w:rPr>
            </w:r>
            <w:r>
              <w:rPr>
                <w:sz w:val="20"/>
              </w:rPr>
              <w:t>Residual target, SiLU activation</w:t>
            </w:r>
          </w:p>
        </w:tc>
        <w:tc>
          <w:tcPr>
            <w:tcW w:type="dxa" w:w="2160"/>
          </w:tcPr>
          <w:p>
            <w:pPr>
              <w:spacing w:line="240" w:lineRule="auto" w:after="40"/>
            </w:pPr>
            <w:r>
              <w:rPr>
                <w:sz w:val="20"/>
              </w:rPr>
            </w:r>
            <w:r>
              <w:rPr>
                <w:sz w:val="20"/>
              </w:rPr>
              <w:t>—</w:t>
            </w:r>
          </w:p>
        </w:tc>
        <w:tc>
          <w:tcPr>
            <w:tcW w:type="dxa" w:w="2160"/>
          </w:tcPr>
          <w:p>
            <w:pPr>
              <w:spacing w:line="240" w:lineRule="auto" w:after="40"/>
            </w:pPr>
            <w:r>
              <w:rPr>
                <w:sz w:val="20"/>
              </w:rPr>
            </w:r>
            <w:r>
              <w:rPr>
                <w:sz w:val="20"/>
              </w:rPr>
              <w:t>—</w:t>
            </w:r>
          </w:p>
        </w:tc>
      </w:tr>
    </w:tbl>
    <w:p/>
    <w:p>
      <w:pPr>
        <w:pStyle w:val="Heading3"/>
      </w:pPr>
      <w:r>
        <w:rPr>
          <w:rFonts w:ascii="Times New Roman" w:hAnsi="Times New Roman"/>
          <w:color w:val="000000"/>
        </w:rPr>
        <w:t>3.1 Documented limitation</w:t>
      </w:r>
    </w:p>
    <w:p>
      <w:pPr>
        <w:jc w:val="both"/>
      </w:pPr>
      <w:r>
        <w:t xml:space="preserve">Review of the training logs established that the </w:t>
      </w:r>
      <w:r>
        <w:rPr>
          <w:b/>
        </w:rPr>
        <w:t>monotonicity penalty read exactly 0.0000 throughout training</w:t>
      </w:r>
      <w:r>
        <w:t xml:space="preserve"> — it was non-binding and never activated. The physics constraint was therefore present in the loss function but inert in practice. This is recorded because it means Phase II does *not* constitute a fair test of physics-constrained learning; that test was only properly conducted in Phase IX.</w:t>
      </w:r>
    </w:p>
    <w:p>
      <w:pPr>
        <w:jc w:val="both"/>
      </w:pPr>
      <w:r>
        <w:t xml:space="preserve">A further scoping observation was made: the Groeneveld 2007 source paper documents a </w:t>
      </w:r>
      <w:r>
        <w:rPr>
          <w:b/>
        </w:rPr>
        <w:t>Limiting Quality Region</w:t>
      </w:r>
      <w:r>
        <w:t>, a steep non-smooth transition zone where the table's own authors report elevated entry-to-entry variation. No model in this phase was evaluated specifically inside that region, and it is flagged as a natural target for error characterisation.</w:t>
      </w:r>
    </w:p>
    <w:p>
      <w:pPr>
        <w:jc w:val="center"/>
      </w:pPr>
      <w:r>
        <w:rPr>
          <w:sz w:val="20"/>
        </w:rPr>
        <w:t>• • •</w:t>
      </w:r>
    </w:p>
    <w:p>
      <w:pPr>
        <w:pStyle w:val="Heading2"/>
      </w:pPr>
      <w:r>
        <w:rPr>
          <w:rFonts w:ascii="Times New Roman" w:hAnsi="Times New Roman"/>
          <w:color w:val="000000"/>
        </w:rPr>
        <w:t>4. Phase III — Data acquisition</w:t>
      </w:r>
    </w:p>
    <w:p>
      <w:pPr>
        <w:pStyle w:val="Heading3"/>
      </w:pPr>
      <w:r>
        <w:rPr>
          <w:rFonts w:ascii="Times New Roman" w:hAnsi="Times New Roman"/>
          <w:color w:val="000000"/>
        </w:rPr>
        <w:t>4.1 Literature review</w:t>
      </w:r>
    </w:p>
    <w:p>
      <w:pPr>
        <w:jc w:val="both"/>
      </w:pPr>
      <w:r>
        <w:t>Thirty-five reference papers were assembled and indexed, each recorded with citation, DOI or publisher identifier, and a note stating whether extractable data exists and where any extraction was stored. Four papers assigned directly by the supervisor were audited first; three contained extractable appendix tables (55, 156 and 257 rows), and the fourth was confirmed to contain no data table at all — it is a wall-temperature and dryout-quality modelling paper whose only numeric content is one worked example and a correlation.</w:t>
      </w:r>
    </w:p>
    <w:p>
      <w:pPr>
        <w:pStyle w:val="Heading3"/>
      </w:pPr>
      <w:r>
        <w:rPr>
          <w:rFonts w:ascii="Times New Roman" w:hAnsi="Times New Roman"/>
          <w:color w:val="000000"/>
        </w:rPr>
        <w:t>4.2 The engineered-surface extraction</w:t>
      </w:r>
    </w:p>
    <w:p>
      <w:pPr>
        <w:jc w:val="both"/>
      </w:pPr>
      <w:r>
        <w:t>The manuscript outline requires surface characteristics, which the large flow-boiling databases do not carry. Eleven publications were therefore extracted by hand, using exact text extraction rather than visual reading, to produce paired roughness, contact angle and CHF records.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Source publication</w:t>
            </w:r>
          </w:p>
        </w:tc>
        <w:tc>
          <w:tcPr>
            <w:tcW w:type="dxa" w:w="2880"/>
          </w:tcPr>
          <w:p>
            <w:pPr>
              <w:spacing w:line="240" w:lineRule="auto" w:after="40"/>
            </w:pPr>
            <w:r>
              <w:rPr>
                <w:b/>
                <w:sz w:val="20"/>
              </w:rPr>
            </w:r>
            <w:r>
              <w:rPr>
                <w:b/>
                <w:sz w:val="20"/>
              </w:rPr>
              <w:t>Rows</w:t>
            </w:r>
          </w:p>
        </w:tc>
        <w:tc>
          <w:tcPr>
            <w:tcW w:type="dxa" w:w="2880"/>
          </w:tcPr>
          <w:p>
            <w:pPr>
              <w:spacing w:line="240" w:lineRule="auto" w:after="40"/>
            </w:pPr>
            <w:r>
              <w:rPr>
                <w:b/>
                <w:sz w:val="20"/>
              </w:rPr>
            </w:r>
            <w:r>
              <w:rPr>
                <w:b/>
                <w:sz w:val="20"/>
              </w:rPr>
              <w:t>Validation against independently published ranges</w:t>
            </w:r>
          </w:p>
        </w:tc>
      </w:tr>
      <w:tr>
        <w:tc>
          <w:tcPr>
            <w:tcW w:type="dxa" w:w="2880"/>
          </w:tcPr>
          <w:p>
            <w:pPr>
              <w:spacing w:line="240" w:lineRule="auto" w:after="40"/>
            </w:pPr>
            <w:r>
              <w:rPr>
                <w:sz w:val="20"/>
              </w:rPr>
            </w:r>
            <w:r>
              <w:rPr>
                <w:sz w:val="20"/>
              </w:rPr>
              <w:t>He, Ali and Chen, IJHMT 196 (2022)</w:t>
            </w:r>
          </w:p>
        </w:tc>
        <w:tc>
          <w:tcPr>
            <w:tcW w:type="dxa" w:w="2880"/>
          </w:tcPr>
          <w:p>
            <w:pPr>
              <w:spacing w:line="240" w:lineRule="auto" w:after="40"/>
            </w:pPr>
            <w:r>
              <w:rPr>
                <w:sz w:val="20"/>
              </w:rPr>
            </w:r>
            <w:r>
              <w:rPr>
                <w:sz w:val="20"/>
              </w:rPr>
              <w:t>40</w:t>
            </w:r>
          </w:p>
        </w:tc>
        <w:tc>
          <w:tcPr>
            <w:tcW w:type="dxa" w:w="2880"/>
          </w:tcPr>
          <w:p>
            <w:pPr>
              <w:spacing w:line="240" w:lineRule="auto" w:after="40"/>
            </w:pPr>
            <w:r>
              <w:rPr>
                <w:sz w:val="20"/>
              </w:rPr>
            </w:r>
            <w:r>
              <w:rPr>
                <w:sz w:val="20"/>
              </w:rPr>
              <w:t>Ra 1.55–25.21 match; CA 54–82 match; CHF 381–922 match</w:t>
            </w:r>
          </w:p>
        </w:tc>
      </w:tr>
      <w:tr>
        <w:tc>
          <w:tcPr>
            <w:tcW w:type="dxa" w:w="2880"/>
          </w:tcPr>
          <w:p>
            <w:pPr>
              <w:spacing w:line="240" w:lineRule="auto" w:after="40"/>
            </w:pPr>
            <w:r>
              <w:rPr>
                <w:sz w:val="20"/>
              </w:rPr>
            </w:r>
            <w:r>
              <w:rPr>
                <w:sz w:val="20"/>
              </w:rPr>
              <w:t>Ahn et al., NED 240 (2010)</w:t>
            </w:r>
          </w:p>
        </w:tc>
        <w:tc>
          <w:tcPr>
            <w:tcW w:type="dxa" w:w="2880"/>
          </w:tcPr>
          <w:p>
            <w:pPr>
              <w:spacing w:line="240" w:lineRule="auto" w:after="40"/>
            </w:pPr>
            <w:r>
              <w:rPr>
                <w:sz w:val="20"/>
              </w:rPr>
            </w:r>
            <w:r>
              <w:rPr>
                <w:sz w:val="20"/>
              </w:rPr>
              <w:t>10</w:t>
            </w:r>
          </w:p>
        </w:tc>
        <w:tc>
          <w:tcPr>
            <w:tcW w:type="dxa" w:w="2880"/>
          </w:tcPr>
          <w:p>
            <w:pPr>
              <w:spacing w:line="240" w:lineRule="auto" w:after="40"/>
            </w:pPr>
            <w:r>
              <w:rPr>
                <w:sz w:val="20"/>
              </w:rPr>
            </w:r>
            <w:r>
              <w:rPr>
                <w:sz w:val="20"/>
              </w:rPr>
              <w:t>Ra 0.05–0.32 match; CA 0–49 match; CHF 1004–1924 match</w:t>
            </w:r>
          </w:p>
        </w:tc>
      </w:tr>
      <w:tr>
        <w:tc>
          <w:tcPr>
            <w:tcW w:type="dxa" w:w="2880"/>
          </w:tcPr>
          <w:p>
            <w:pPr>
              <w:spacing w:line="240" w:lineRule="auto" w:after="40"/>
            </w:pPr>
            <w:r>
              <w:rPr>
                <w:sz w:val="20"/>
              </w:rPr>
            </w:r>
            <w:r>
              <w:rPr>
                <w:sz w:val="20"/>
              </w:rPr>
              <w:t>Yeom et al., NED 370 (2020)</w:t>
            </w:r>
          </w:p>
        </w:tc>
        <w:tc>
          <w:tcPr>
            <w:tcW w:type="dxa" w:w="2880"/>
          </w:tcPr>
          <w:p>
            <w:pPr>
              <w:spacing w:line="240" w:lineRule="auto" w:after="40"/>
            </w:pPr>
            <w:r>
              <w:rPr>
                <w:sz w:val="20"/>
              </w:rPr>
            </w:r>
            <w:r>
              <w:rPr>
                <w:sz w:val="20"/>
              </w:rPr>
              <w:t>9</w:t>
            </w:r>
          </w:p>
        </w:tc>
        <w:tc>
          <w:tcPr>
            <w:tcW w:type="dxa" w:w="2880"/>
          </w:tcPr>
          <w:p>
            <w:pPr>
              <w:spacing w:line="240" w:lineRule="auto" w:after="40"/>
            </w:pPr>
            <w:r>
              <w:rPr>
                <w:sz w:val="20"/>
              </w:rPr>
            </w:r>
            <w:r>
              <w:rPr>
                <w:sz w:val="20"/>
              </w:rPr>
              <w:t>Ra 0.07–5.72 match; CA 33–107 match; CHF 454–931 match</w:t>
            </w:r>
          </w:p>
        </w:tc>
      </w:tr>
      <w:tr>
        <w:tc>
          <w:tcPr>
            <w:tcW w:type="dxa" w:w="2880"/>
          </w:tcPr>
          <w:p>
            <w:pPr>
              <w:spacing w:line="240" w:lineRule="auto" w:after="40"/>
            </w:pPr>
            <w:r>
              <w:rPr>
                <w:sz w:val="20"/>
              </w:rPr>
            </w:r>
            <w:r>
              <w:rPr>
                <w:sz w:val="20"/>
              </w:rPr>
              <w:t>Ali et al., NED 362 (2020)</w:t>
            </w:r>
          </w:p>
        </w:tc>
        <w:tc>
          <w:tcPr>
            <w:tcW w:type="dxa" w:w="2880"/>
          </w:tcPr>
          <w:p>
            <w:pPr>
              <w:spacing w:line="240" w:lineRule="auto" w:after="40"/>
            </w:pPr>
            <w:r>
              <w:rPr>
                <w:sz w:val="20"/>
              </w:rPr>
            </w:r>
            <w:r>
              <w:rPr>
                <w:sz w:val="20"/>
              </w:rPr>
              <w:t>8</w:t>
            </w:r>
          </w:p>
        </w:tc>
        <w:tc>
          <w:tcPr>
            <w:tcW w:type="dxa" w:w="2880"/>
          </w:tcPr>
          <w:p>
            <w:pPr>
              <w:spacing w:line="240" w:lineRule="auto" w:after="40"/>
            </w:pPr>
            <w:r>
              <w:rPr>
                <w:sz w:val="20"/>
              </w:rPr>
            </w:r>
            <w:r>
              <w:rPr>
                <w:sz w:val="20"/>
              </w:rPr>
              <w:t>CA 68–83 match; CHF lower bound 677 match</w:t>
            </w:r>
          </w:p>
        </w:tc>
      </w:tr>
      <w:tr>
        <w:tc>
          <w:tcPr>
            <w:tcW w:type="dxa" w:w="2880"/>
          </w:tcPr>
          <w:p>
            <w:pPr>
              <w:spacing w:line="240" w:lineRule="auto" w:after="40"/>
            </w:pPr>
            <w:r>
              <w:rPr>
                <w:sz w:val="20"/>
              </w:rPr>
            </w:r>
            <w:r>
              <w:rPr>
                <w:sz w:val="20"/>
              </w:rPr>
              <w:t>Kim, Son and Kim, IJHMT 144 (2019)</w:t>
            </w:r>
          </w:p>
        </w:tc>
        <w:tc>
          <w:tcPr>
            <w:tcW w:type="dxa" w:w="2880"/>
          </w:tcPr>
          <w:p>
            <w:pPr>
              <w:spacing w:line="240" w:lineRule="auto" w:after="40"/>
            </w:pPr>
            <w:r>
              <w:rPr>
                <w:sz w:val="20"/>
              </w:rPr>
            </w:r>
            <w:r>
              <w:rPr>
                <w:sz w:val="20"/>
              </w:rPr>
              <w:t>7</w:t>
            </w:r>
          </w:p>
        </w:tc>
        <w:tc>
          <w:tcPr>
            <w:tcW w:type="dxa" w:w="2880"/>
          </w:tcPr>
          <w:p>
            <w:pPr>
              <w:spacing w:line="240" w:lineRule="auto" w:after="40"/>
            </w:pPr>
            <w:r>
              <w:rPr>
                <w:sz w:val="20"/>
              </w:rPr>
            </w:r>
            <w:r>
              <w:rPr>
                <w:sz w:val="20"/>
              </w:rPr>
              <w:t>Ra 0.093–0.107 match; per-specimen CHF figure-only</w:t>
            </w:r>
          </w:p>
        </w:tc>
      </w:tr>
      <w:tr>
        <w:tc>
          <w:tcPr>
            <w:tcW w:type="dxa" w:w="2880"/>
          </w:tcPr>
          <w:p>
            <w:pPr>
              <w:spacing w:line="240" w:lineRule="auto" w:after="40"/>
            </w:pPr>
            <w:r>
              <w:rPr>
                <w:sz w:val="20"/>
              </w:rPr>
            </w:r>
            <w:r>
              <w:rPr>
                <w:sz w:val="20"/>
              </w:rPr>
              <w:t>Kam et al., Annals of Nuclear Energy 76 (2015)</w:t>
            </w:r>
          </w:p>
        </w:tc>
        <w:tc>
          <w:tcPr>
            <w:tcW w:type="dxa" w:w="2880"/>
          </w:tcPr>
          <w:p>
            <w:pPr>
              <w:spacing w:line="240" w:lineRule="auto" w:after="40"/>
            </w:pPr>
            <w:r>
              <w:rPr>
                <w:sz w:val="20"/>
              </w:rPr>
            </w:r>
            <w:r>
              <w:rPr>
                <w:sz w:val="20"/>
              </w:rPr>
              <w:t>6</w:t>
            </w:r>
          </w:p>
        </w:tc>
        <w:tc>
          <w:tcPr>
            <w:tcW w:type="dxa" w:w="2880"/>
          </w:tcPr>
          <w:p>
            <w:pPr>
              <w:spacing w:line="240" w:lineRule="auto" w:after="40"/>
            </w:pPr>
            <w:r>
              <w:rPr>
                <w:sz w:val="20"/>
              </w:rPr>
            </w:r>
            <w:r>
              <w:rPr>
                <w:sz w:val="20"/>
              </w:rPr>
              <w:t xml:space="preserve">Ra match; CA 19–81 match; </w:t>
            </w:r>
            <w:r>
              <w:rPr>
                <w:b/>
                <w:sz w:val="20"/>
              </w:rPr>
              <w:t>CHF disagrees — see below</w:t>
            </w:r>
          </w:p>
        </w:tc>
      </w:tr>
      <w:tr>
        <w:tc>
          <w:tcPr>
            <w:tcW w:type="dxa" w:w="2880"/>
          </w:tcPr>
          <w:p>
            <w:pPr>
              <w:spacing w:line="240" w:lineRule="auto" w:after="40"/>
            </w:pPr>
            <w:r>
              <w:rPr>
                <w:sz w:val="20"/>
              </w:rPr>
            </w:r>
            <w:r>
              <w:rPr>
                <w:sz w:val="20"/>
              </w:rPr>
              <w:t>Zhang et al., Nature Communications 14 (2023)</w:t>
            </w:r>
          </w:p>
        </w:tc>
        <w:tc>
          <w:tcPr>
            <w:tcW w:type="dxa" w:w="2880"/>
          </w:tcPr>
          <w:p>
            <w:pPr>
              <w:spacing w:line="240" w:lineRule="auto" w:after="40"/>
            </w:pPr>
            <w:r>
              <w:rPr>
                <w:sz w:val="20"/>
              </w:rPr>
            </w:r>
            <w:r>
              <w:rPr>
                <w:sz w:val="20"/>
              </w:rPr>
              <w:t>6</w:t>
            </w:r>
          </w:p>
        </w:tc>
        <w:tc>
          <w:tcPr>
            <w:tcW w:type="dxa" w:w="2880"/>
          </w:tcPr>
          <w:p>
            <w:pPr>
              <w:spacing w:line="240" w:lineRule="auto" w:after="40"/>
            </w:pPr>
            <w:r>
              <w:rPr>
                <w:sz w:val="20"/>
              </w:rPr>
            </w:r>
            <w:r>
              <w:rPr>
                <w:sz w:val="20"/>
              </w:rPr>
              <w:t>CA 0–85 match; CHF 980–2220 match; open access</w:t>
            </w:r>
          </w:p>
        </w:tc>
      </w:tr>
      <w:tr>
        <w:tc>
          <w:tcPr>
            <w:tcW w:type="dxa" w:w="2880"/>
          </w:tcPr>
          <w:p>
            <w:pPr>
              <w:spacing w:line="240" w:lineRule="auto" w:after="40"/>
            </w:pPr>
            <w:r>
              <w:rPr>
                <w:sz w:val="20"/>
              </w:rPr>
            </w:r>
            <w:r>
              <w:rPr>
                <w:sz w:val="20"/>
              </w:rPr>
              <w:t>Jo et al., NED 354 (2019)</w:t>
            </w:r>
          </w:p>
        </w:tc>
        <w:tc>
          <w:tcPr>
            <w:tcW w:type="dxa" w:w="2880"/>
          </w:tcPr>
          <w:p>
            <w:pPr>
              <w:spacing w:line="240" w:lineRule="auto" w:after="40"/>
            </w:pPr>
            <w:r>
              <w:rPr>
                <w:sz w:val="20"/>
              </w:rPr>
            </w:r>
            <w:r>
              <w:rPr>
                <w:sz w:val="20"/>
              </w:rPr>
              <w:t>4</w:t>
            </w:r>
          </w:p>
        </w:tc>
        <w:tc>
          <w:tcPr>
            <w:tcW w:type="dxa" w:w="2880"/>
          </w:tcPr>
          <w:p>
            <w:pPr>
              <w:spacing w:line="240" w:lineRule="auto" w:after="40"/>
            </w:pPr>
            <w:r>
              <w:rPr>
                <w:sz w:val="20"/>
              </w:rPr>
            </w:r>
            <w:r>
              <w:rPr>
                <w:sz w:val="20"/>
              </w:rPr>
              <w:t>Ra 0.067–0.12 match; CA 64–89 match; CHF 571–709 match</w:t>
            </w:r>
          </w:p>
        </w:tc>
      </w:tr>
      <w:tr>
        <w:tc>
          <w:tcPr>
            <w:tcW w:type="dxa" w:w="2880"/>
          </w:tcPr>
          <w:p>
            <w:pPr>
              <w:spacing w:line="240" w:lineRule="auto" w:after="40"/>
            </w:pPr>
            <w:r>
              <w:rPr>
                <w:sz w:val="20"/>
              </w:rPr>
            </w:r>
            <w:r>
              <w:rPr>
                <w:sz w:val="20"/>
              </w:rPr>
              <w:t>Cheol Lee et al., Annals of Nuclear Energy 126 (2019)</w:t>
            </w:r>
          </w:p>
        </w:tc>
        <w:tc>
          <w:tcPr>
            <w:tcW w:type="dxa" w:w="2880"/>
          </w:tcPr>
          <w:p>
            <w:pPr>
              <w:spacing w:line="240" w:lineRule="auto" w:after="40"/>
            </w:pPr>
            <w:r>
              <w:rPr>
                <w:sz w:val="20"/>
              </w:rPr>
            </w:r>
            <w:r>
              <w:rPr>
                <w:sz w:val="20"/>
              </w:rPr>
              <w:t>4</w:t>
            </w:r>
          </w:p>
        </w:tc>
        <w:tc>
          <w:tcPr>
            <w:tcW w:type="dxa" w:w="2880"/>
          </w:tcPr>
          <w:p>
            <w:pPr>
              <w:spacing w:line="240" w:lineRule="auto" w:after="40"/>
            </w:pPr>
            <w:r>
              <w:rPr>
                <w:sz w:val="20"/>
              </w:rPr>
            </w:r>
            <w:r>
              <w:rPr>
                <w:sz w:val="20"/>
              </w:rPr>
              <w:t>Ra 0.154–0.207 match; CA 0–65 match; CHF 804–1004 match</w:t>
            </w:r>
          </w:p>
        </w:tc>
      </w:tr>
      <w:tr>
        <w:tc>
          <w:tcPr>
            <w:tcW w:type="dxa" w:w="2880"/>
          </w:tcPr>
          <w:p>
            <w:pPr>
              <w:spacing w:line="240" w:lineRule="auto" w:after="40"/>
            </w:pPr>
            <w:r>
              <w:rPr>
                <w:sz w:val="20"/>
              </w:rPr>
            </w:r>
            <w:r>
              <w:rPr>
                <w:sz w:val="20"/>
              </w:rPr>
              <w:t>Ali et al., NED 338 (2018)</w:t>
            </w:r>
          </w:p>
        </w:tc>
        <w:tc>
          <w:tcPr>
            <w:tcW w:type="dxa" w:w="2880"/>
          </w:tcPr>
          <w:p>
            <w:pPr>
              <w:spacing w:line="240" w:lineRule="auto" w:after="40"/>
            </w:pPr>
            <w:r>
              <w:rPr>
                <w:sz w:val="20"/>
              </w:rPr>
            </w:r>
            <w:r>
              <w:rPr>
                <w:sz w:val="20"/>
              </w:rPr>
              <w:t>4</w:t>
            </w:r>
          </w:p>
        </w:tc>
        <w:tc>
          <w:tcPr>
            <w:tcW w:type="dxa" w:w="2880"/>
          </w:tcPr>
          <w:p>
            <w:pPr>
              <w:spacing w:line="240" w:lineRule="auto" w:after="40"/>
            </w:pPr>
            <w:r>
              <w:rPr>
                <w:sz w:val="20"/>
              </w:rPr>
            </w:r>
            <w:r>
              <w:rPr>
                <w:sz w:val="20"/>
              </w:rPr>
              <w:t>CHF 784–1089 match</w:t>
            </w:r>
          </w:p>
        </w:tc>
      </w:tr>
      <w:tr>
        <w:tc>
          <w:tcPr>
            <w:tcW w:type="dxa" w:w="2880"/>
          </w:tcPr>
          <w:p>
            <w:pPr>
              <w:spacing w:line="240" w:lineRule="auto" w:after="40"/>
            </w:pPr>
            <w:r>
              <w:rPr>
                <w:sz w:val="20"/>
              </w:rPr>
            </w:r>
            <w:r>
              <w:rPr>
                <w:sz w:val="20"/>
              </w:rPr>
              <w:t>Seo, Jeun and Kim, ETFS 64 (2015)</w:t>
            </w:r>
          </w:p>
        </w:tc>
        <w:tc>
          <w:tcPr>
            <w:tcW w:type="dxa" w:w="2880"/>
          </w:tcPr>
          <w:p>
            <w:pPr>
              <w:spacing w:line="240" w:lineRule="auto" w:after="40"/>
            </w:pPr>
            <w:r>
              <w:rPr>
                <w:sz w:val="20"/>
              </w:rPr>
            </w:r>
            <w:r>
              <w:rPr>
                <w:sz w:val="20"/>
              </w:rPr>
              <w:t>2</w:t>
            </w:r>
          </w:p>
        </w:tc>
        <w:tc>
          <w:tcPr>
            <w:tcW w:type="dxa" w:w="2880"/>
          </w:tcPr>
          <w:p>
            <w:pPr>
              <w:spacing w:line="240" w:lineRule="auto" w:after="40"/>
            </w:pPr>
            <w:r>
              <w:rPr>
                <w:sz w:val="20"/>
              </w:rPr>
            </w:r>
            <w:r>
              <w:rPr>
                <w:sz w:val="20"/>
              </w:rPr>
              <w:t>Ra 0.088/0.107 match; CA 85/93 match; CHF 635/1037 match</w:t>
            </w:r>
          </w:p>
        </w:tc>
      </w:tr>
    </w:tbl>
    <w:p/>
    <w:p>
      <w:pPr>
        <w:jc w:val="both"/>
      </w:pPr>
      <w:r>
        <w:t>Consolidated into a 100-row surface master file; 65 rows carry roughness, contact angle and CHF simultaneously. Ten of eleven extractions matched their independently published ranges exactly.</w:t>
      </w:r>
    </w:p>
    <w:p>
      <w:pPr>
        <w:jc w:val="both"/>
      </w:pPr>
      <w:r>
        <w:rPr>
          <w:b/>
        </w:rPr>
        <w:t>Unresolved discrepancy — Kam et al. 2015.</w:t>
      </w:r>
      <w:r>
        <w:t xml:space="preserve"> The paper's own text reports CHF of 1020 (bare stainless steel), 940 (Zircaloy-4), 1230 (SiC 400 nm) and 1470 kW/m2 (SiC 1 micron). The independently published range for the same study quotes 660–1223. Values recorded here are verbatim from the source, so the disagreement is upstream and unresolved; resolving it requires digitising the paper's Figure 7. Neither number should be relied upon until then.</w:t>
      </w:r>
    </w:p>
    <w:p>
      <w:pPr>
        <w:pStyle w:val="Heading3"/>
      </w:pPr>
      <w:r>
        <w:rPr>
          <w:rFonts w:ascii="Times New Roman" w:hAnsi="Times New Roman"/>
          <w:color w:val="000000"/>
        </w:rPr>
        <w:t>4.3 Large database recovery</w:t>
      </w:r>
    </w:p>
    <w:p>
      <w:pPr>
        <w:jc w:val="both"/>
      </w:pPr>
      <w:r>
        <w:t xml:space="preserve">The approximately 24,579-point NRC/Groeneveld CHF database, widely cited in recent literature as the largest public compilation, was initially believed to be restricted to registered participants of the OECD/NEA benchmark. It was subsequently located in a </w:t>
      </w:r>
      <w:r>
        <w:rPr>
          <w:b/>
        </w:rPr>
        <w:t>public NRC ADAMS document</w:t>
      </w:r>
      <w:r>
        <w:t xml:space="preserve"> (accession ML22264A009, 457 pages) and transcribed in full. This correction is recorded because the earlier assessment appeared in project documentation and was wrong.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after="40"/>
            </w:pPr>
            <w:r>
              <w:rPr>
                <w:b/>
                <w:sz w:val="20"/>
              </w:rPr>
            </w:r>
            <w:r>
              <w:rPr>
                <w:b/>
                <w:sz w:val="20"/>
              </w:rPr>
              <w:t>Dataset</w:t>
            </w:r>
          </w:p>
        </w:tc>
        <w:tc>
          <w:tcPr>
            <w:tcW w:type="dxa" w:w="2160"/>
          </w:tcPr>
          <w:p>
            <w:pPr>
              <w:spacing w:line="240" w:lineRule="auto" w:after="40"/>
            </w:pPr>
            <w:r>
              <w:rPr>
                <w:b/>
                <w:sz w:val="20"/>
              </w:rPr>
            </w:r>
            <w:r>
              <w:rPr>
                <w:b/>
                <w:sz w:val="20"/>
              </w:rPr>
              <w:t>Rows</w:t>
            </w:r>
          </w:p>
        </w:tc>
        <w:tc>
          <w:tcPr>
            <w:tcW w:type="dxa" w:w="2160"/>
          </w:tcPr>
          <w:p>
            <w:pPr>
              <w:spacing w:line="240" w:lineRule="auto" w:after="40"/>
            </w:pPr>
            <w:r>
              <w:rPr>
                <w:b/>
                <w:sz w:val="20"/>
              </w:rPr>
            </w:r>
            <w:r>
              <w:rPr>
                <w:b/>
                <w:sz w:val="20"/>
              </w:rPr>
              <w:t>Sources</w:t>
            </w:r>
          </w:p>
        </w:tc>
        <w:tc>
          <w:tcPr>
            <w:tcW w:type="dxa" w:w="2160"/>
          </w:tcPr>
          <w:p>
            <w:pPr>
              <w:spacing w:line="240" w:lineRule="auto" w:after="40"/>
            </w:pPr>
            <w:r>
              <w:rPr>
                <w:b/>
                <w:sz w:val="20"/>
              </w:rPr>
            </w:r>
            <w:r>
              <w:rPr>
                <w:b/>
                <w:sz w:val="20"/>
              </w:rPr>
              <w:t>Character</w:t>
            </w:r>
          </w:p>
        </w:tc>
      </w:tr>
      <w:tr>
        <w:tc>
          <w:tcPr>
            <w:tcW w:type="dxa" w:w="2160"/>
          </w:tcPr>
          <w:p>
            <w:pPr>
              <w:spacing w:line="240" w:lineRule="auto" w:after="40"/>
            </w:pPr>
            <w:r>
              <w:rPr>
                <w:sz w:val="20"/>
              </w:rPr>
            </w:r>
            <w:r>
              <w:rPr>
                <w:sz w:val="20"/>
              </w:rPr>
              <w:t>NRC / Groeneveld database</w:t>
            </w:r>
          </w:p>
        </w:tc>
        <w:tc>
          <w:tcPr>
            <w:tcW w:type="dxa" w:w="2160"/>
          </w:tcPr>
          <w:p>
            <w:pPr>
              <w:spacing w:line="240" w:lineRule="auto" w:after="40"/>
            </w:pPr>
            <w:r>
              <w:rPr>
                <w:sz w:val="20"/>
              </w:rPr>
            </w:r>
            <w:r>
              <w:rPr>
                <w:sz w:val="20"/>
              </w:rPr>
              <w:t>24,443</w:t>
            </w:r>
          </w:p>
        </w:tc>
        <w:tc>
          <w:tcPr>
            <w:tcW w:type="dxa" w:w="2160"/>
          </w:tcPr>
          <w:p>
            <w:pPr>
              <w:spacing w:line="240" w:lineRule="auto" w:after="40"/>
            </w:pPr>
            <w:r>
              <w:rPr>
                <w:sz w:val="20"/>
              </w:rPr>
            </w:r>
            <w:r>
              <w:rPr>
                <w:sz w:val="20"/>
              </w:rPr>
              <w:t>60</w:t>
            </w:r>
          </w:p>
        </w:tc>
        <w:tc>
          <w:tcPr>
            <w:tcW w:type="dxa" w:w="2160"/>
          </w:tcPr>
          <w:p>
            <w:pPr>
              <w:spacing w:line="240" w:lineRule="auto" w:after="40"/>
            </w:pPr>
            <w:r>
              <w:rPr>
                <w:sz w:val="20"/>
              </w:rPr>
            </w:r>
            <w:r>
              <w:rPr>
                <w:sz w:val="20"/>
              </w:rPr>
              <w:t>Uniformly heated vertical water tubes; deduplicated from 24,579</w:t>
            </w:r>
          </w:p>
        </w:tc>
      </w:tr>
      <w:tr>
        <w:tc>
          <w:tcPr>
            <w:tcW w:type="dxa" w:w="2160"/>
          </w:tcPr>
          <w:p>
            <w:pPr>
              <w:spacing w:line="240" w:lineRule="auto" w:after="40"/>
            </w:pPr>
            <w:r>
              <w:rPr>
                <w:sz w:val="20"/>
              </w:rPr>
            </w:r>
            <w:r>
              <w:rPr>
                <w:sz w:val="20"/>
              </w:rPr>
              <w:t>Zhao 2020 compilation</w:t>
            </w:r>
          </w:p>
        </w:tc>
        <w:tc>
          <w:tcPr>
            <w:tcW w:type="dxa" w:w="2160"/>
          </w:tcPr>
          <w:p>
            <w:pPr>
              <w:spacing w:line="240" w:lineRule="auto" w:after="40"/>
            </w:pPr>
            <w:r>
              <w:rPr>
                <w:sz w:val="20"/>
              </w:rPr>
            </w:r>
            <w:r>
              <w:rPr>
                <w:sz w:val="20"/>
              </w:rPr>
              <w:t>1,865</w:t>
            </w:r>
          </w:p>
        </w:tc>
        <w:tc>
          <w:tcPr>
            <w:tcW w:type="dxa" w:w="2160"/>
          </w:tcPr>
          <w:p>
            <w:pPr>
              <w:spacing w:line="240" w:lineRule="auto" w:after="40"/>
            </w:pPr>
            <w:r>
              <w:rPr>
                <w:sz w:val="20"/>
              </w:rPr>
            </w:r>
            <w:r>
              <w:rPr>
                <w:sz w:val="20"/>
              </w:rPr>
              <w:t>10</w:t>
            </w:r>
          </w:p>
        </w:tc>
        <w:tc>
          <w:tcPr>
            <w:tcW w:type="dxa" w:w="2160"/>
          </w:tcPr>
          <w:p>
            <w:pPr>
              <w:spacing w:line="240" w:lineRule="auto" w:after="40"/>
            </w:pPr>
            <w:r>
              <w:rPr>
                <w:sz w:val="20"/>
              </w:rPr>
            </w:r>
            <w:r>
              <w:rPr>
                <w:sz w:val="20"/>
              </w:rPr>
              <w:t>Tubes, annuli and plates; multi-author compilation</w:t>
            </w:r>
          </w:p>
        </w:tc>
      </w:tr>
      <w:tr>
        <w:tc>
          <w:tcPr>
            <w:tcW w:type="dxa" w:w="2160"/>
          </w:tcPr>
          <w:p>
            <w:pPr>
              <w:spacing w:line="240" w:lineRule="auto" w:after="40"/>
            </w:pPr>
            <w:r>
              <w:rPr>
                <w:sz w:val="20"/>
              </w:rPr>
            </w:r>
            <w:r>
              <w:rPr>
                <w:sz w:val="20"/>
              </w:rPr>
              <w:t>KAERI TR-1665 non-uniform</w:t>
            </w:r>
          </w:p>
        </w:tc>
        <w:tc>
          <w:tcPr>
            <w:tcW w:type="dxa" w:w="2160"/>
          </w:tcPr>
          <w:p>
            <w:pPr>
              <w:spacing w:line="240" w:lineRule="auto" w:after="40"/>
            </w:pPr>
            <w:r>
              <w:rPr>
                <w:sz w:val="20"/>
              </w:rPr>
            </w:r>
            <w:r>
              <w:rPr>
                <w:sz w:val="20"/>
              </w:rPr>
              <w:t>888</w:t>
            </w:r>
          </w:p>
        </w:tc>
        <w:tc>
          <w:tcPr>
            <w:tcW w:type="dxa" w:w="2160"/>
          </w:tcPr>
          <w:p>
            <w:pPr>
              <w:spacing w:line="240" w:lineRule="auto" w:after="40"/>
            </w:pPr>
            <w:r>
              <w:rPr>
                <w:sz w:val="20"/>
              </w:rPr>
            </w:r>
            <w:r>
              <w:rPr>
                <w:sz w:val="20"/>
              </w:rPr>
              <w:t>11</w:t>
            </w:r>
          </w:p>
        </w:tc>
        <w:tc>
          <w:tcPr>
            <w:tcW w:type="dxa" w:w="2160"/>
          </w:tcPr>
          <w:p>
            <w:pPr>
              <w:spacing w:line="240" w:lineRule="auto" w:after="40"/>
            </w:pPr>
            <w:r>
              <w:rPr>
                <w:sz w:val="20"/>
              </w:rPr>
            </w:r>
            <w:r>
              <w:rPr>
                <w:sz w:val="20"/>
              </w:rPr>
              <w:t>Non-uniform axial power profile</w:t>
            </w:r>
          </w:p>
        </w:tc>
      </w:tr>
      <w:tr>
        <w:tc>
          <w:tcPr>
            <w:tcW w:type="dxa" w:w="2160"/>
          </w:tcPr>
          <w:p>
            <w:pPr>
              <w:spacing w:line="240" w:lineRule="auto" w:after="40"/>
            </w:pPr>
            <w:r>
              <w:rPr>
                <w:sz w:val="20"/>
              </w:rPr>
            </w:r>
            <w:r>
              <w:rPr>
                <w:sz w:val="20"/>
              </w:rPr>
              <w:t>KAERI TR-1665 uniform</w:t>
            </w:r>
          </w:p>
        </w:tc>
        <w:tc>
          <w:tcPr>
            <w:tcW w:type="dxa" w:w="2160"/>
          </w:tcPr>
          <w:p>
            <w:pPr>
              <w:spacing w:line="240" w:lineRule="auto" w:after="40"/>
            </w:pPr>
            <w:r>
              <w:rPr>
                <w:sz w:val="20"/>
              </w:rPr>
            </w:r>
            <w:r>
              <w:rPr>
                <w:sz w:val="20"/>
              </w:rPr>
              <w:t>651</w:t>
            </w:r>
          </w:p>
        </w:tc>
        <w:tc>
          <w:tcPr>
            <w:tcW w:type="dxa" w:w="2160"/>
          </w:tcPr>
          <w:p>
            <w:pPr>
              <w:spacing w:line="240" w:lineRule="auto" w:after="40"/>
            </w:pPr>
            <w:r>
              <w:rPr>
                <w:sz w:val="20"/>
              </w:rPr>
            </w:r>
            <w:r>
              <w:rPr>
                <w:sz w:val="20"/>
              </w:rPr>
              <w:t>10</w:t>
            </w:r>
          </w:p>
        </w:tc>
        <w:tc>
          <w:tcPr>
            <w:tcW w:type="dxa" w:w="2160"/>
          </w:tcPr>
          <w:p>
            <w:pPr>
              <w:spacing w:line="240" w:lineRule="auto" w:after="40"/>
            </w:pPr>
            <w:r>
              <w:rPr>
                <w:sz w:val="20"/>
              </w:rPr>
            </w:r>
            <w:r>
              <w:rPr>
                <w:sz w:val="20"/>
              </w:rPr>
              <w:t>Uniform axial power</w:t>
            </w:r>
          </w:p>
        </w:tc>
      </w:tr>
      <w:tr>
        <w:tc>
          <w:tcPr>
            <w:tcW w:type="dxa" w:w="2160"/>
          </w:tcPr>
          <w:p>
            <w:pPr>
              <w:spacing w:line="240" w:lineRule="auto" w:after="40"/>
            </w:pPr>
            <w:r>
              <w:rPr>
                <w:sz w:val="20"/>
              </w:rPr>
            </w:r>
            <w:r>
              <w:rPr>
                <w:sz w:val="20"/>
              </w:rPr>
              <w:t>Helical coil R-123</w:t>
            </w:r>
          </w:p>
        </w:tc>
        <w:tc>
          <w:tcPr>
            <w:tcW w:type="dxa" w:w="2160"/>
          </w:tcPr>
          <w:p>
            <w:pPr>
              <w:spacing w:line="240" w:lineRule="auto" w:after="40"/>
            </w:pPr>
            <w:r>
              <w:rPr>
                <w:sz w:val="20"/>
              </w:rPr>
            </w:r>
            <w:r>
              <w:rPr>
                <w:sz w:val="20"/>
              </w:rPr>
              <w:t>257</w:t>
            </w:r>
          </w:p>
        </w:tc>
        <w:tc>
          <w:tcPr>
            <w:tcW w:type="dxa" w:w="2160"/>
          </w:tcPr>
          <w:p>
            <w:pPr>
              <w:spacing w:line="240" w:lineRule="auto" w:after="40"/>
            </w:pPr>
            <w:r>
              <w:rPr>
                <w:sz w:val="20"/>
              </w:rPr>
            </w:r>
            <w:r>
              <w:rPr>
                <w:sz w:val="20"/>
              </w:rPr>
              <w:t>2</w:t>
            </w:r>
          </w:p>
        </w:tc>
        <w:tc>
          <w:tcPr>
            <w:tcW w:type="dxa" w:w="2160"/>
          </w:tcPr>
          <w:p>
            <w:pPr>
              <w:spacing w:line="240" w:lineRule="auto" w:after="40"/>
            </w:pPr>
            <w:r>
              <w:rPr>
                <w:sz w:val="20"/>
              </w:rPr>
            </w:r>
            <w:r>
              <w:rPr>
                <w:sz w:val="20"/>
              </w:rPr>
              <w:t>Coiled geometry, refrigerant</w:t>
            </w:r>
          </w:p>
        </w:tc>
      </w:tr>
      <w:tr>
        <w:tc>
          <w:tcPr>
            <w:tcW w:type="dxa" w:w="2160"/>
          </w:tcPr>
          <w:p>
            <w:pPr>
              <w:spacing w:line="240" w:lineRule="auto" w:after="40"/>
            </w:pPr>
            <w:r>
              <w:rPr>
                <w:sz w:val="20"/>
              </w:rPr>
            </w:r>
            <w:r>
              <w:rPr>
                <w:sz w:val="20"/>
              </w:rPr>
              <w:t>Pioro 2002 R-134a</w:t>
            </w:r>
          </w:p>
        </w:tc>
        <w:tc>
          <w:tcPr>
            <w:tcW w:type="dxa" w:w="2160"/>
          </w:tcPr>
          <w:p>
            <w:pPr>
              <w:spacing w:line="240" w:lineRule="auto" w:after="40"/>
            </w:pPr>
            <w:r>
              <w:rPr>
                <w:sz w:val="20"/>
              </w:rPr>
            </w:r>
            <w:r>
              <w:rPr>
                <w:sz w:val="20"/>
              </w:rPr>
              <w:t>268</w:t>
            </w:r>
          </w:p>
        </w:tc>
        <w:tc>
          <w:tcPr>
            <w:tcW w:type="dxa" w:w="2160"/>
          </w:tcPr>
          <w:p>
            <w:pPr>
              <w:spacing w:line="240" w:lineRule="auto" w:after="40"/>
            </w:pPr>
            <w:r>
              <w:rPr>
                <w:sz w:val="20"/>
              </w:rPr>
            </w:r>
            <w:r>
              <w:rPr>
                <w:sz w:val="20"/>
              </w:rPr>
              <w:t>1</w:t>
            </w:r>
          </w:p>
        </w:tc>
        <w:tc>
          <w:tcPr>
            <w:tcW w:type="dxa" w:w="2160"/>
          </w:tcPr>
          <w:p>
            <w:pPr>
              <w:spacing w:line="240" w:lineRule="auto" w:after="40"/>
            </w:pPr>
            <w:r>
              <w:rPr>
                <w:sz w:val="20"/>
              </w:rPr>
            </w:r>
            <w:r>
              <w:rPr>
                <w:sz w:val="20"/>
              </w:rPr>
              <w:t>Chart-digitised; horizontal and vertical orientation</w:t>
            </w:r>
          </w:p>
        </w:tc>
      </w:tr>
      <w:tr>
        <w:tc>
          <w:tcPr>
            <w:tcW w:type="dxa" w:w="2160"/>
          </w:tcPr>
          <w:p>
            <w:pPr>
              <w:spacing w:line="240" w:lineRule="auto" w:after="40"/>
            </w:pPr>
            <w:r>
              <w:rPr>
                <w:sz w:val="20"/>
              </w:rPr>
            </w:r>
            <w:r>
              <w:rPr>
                <w:sz w:val="20"/>
              </w:rPr>
              <w:t>Pin-fin surfaces</w:t>
            </w:r>
          </w:p>
        </w:tc>
        <w:tc>
          <w:tcPr>
            <w:tcW w:type="dxa" w:w="2160"/>
          </w:tcPr>
          <w:p>
            <w:pPr>
              <w:spacing w:line="240" w:lineRule="auto" w:after="40"/>
            </w:pPr>
            <w:r>
              <w:rPr>
                <w:sz w:val="20"/>
              </w:rPr>
            </w:r>
            <w:r>
              <w:rPr>
                <w:sz w:val="20"/>
              </w:rPr>
              <w:t>175</w:t>
            </w:r>
          </w:p>
        </w:tc>
        <w:tc>
          <w:tcPr>
            <w:tcW w:type="dxa" w:w="2160"/>
          </w:tcPr>
          <w:p>
            <w:pPr>
              <w:spacing w:line="240" w:lineRule="auto" w:after="40"/>
            </w:pPr>
            <w:r>
              <w:rPr>
                <w:sz w:val="20"/>
              </w:rPr>
            </w:r>
            <w:r>
              <w:rPr>
                <w:sz w:val="20"/>
              </w:rPr>
              <w:t>16</w:t>
            </w:r>
          </w:p>
        </w:tc>
        <w:tc>
          <w:tcPr>
            <w:tcW w:type="dxa" w:w="2160"/>
          </w:tcPr>
          <w:p>
            <w:pPr>
              <w:spacing w:line="240" w:lineRule="auto" w:after="40"/>
            </w:pPr>
            <w:r>
              <w:rPr>
                <w:sz w:val="20"/>
              </w:rPr>
            </w:r>
            <w:r>
              <w:rPr>
                <w:sz w:val="20"/>
              </w:rPr>
              <w:t>Water and FC-72; micro-fin geometry, the only large surface-feature set</w:t>
            </w:r>
          </w:p>
        </w:tc>
      </w:tr>
      <w:tr>
        <w:tc>
          <w:tcPr>
            <w:tcW w:type="dxa" w:w="2160"/>
          </w:tcPr>
          <w:p>
            <w:pPr>
              <w:spacing w:line="240" w:lineRule="auto" w:after="40"/>
            </w:pPr>
            <w:r>
              <w:rPr>
                <w:sz w:val="20"/>
              </w:rPr>
            </w:r>
            <w:r>
              <w:rPr>
                <w:sz w:val="20"/>
              </w:rPr>
              <w:t>Supervisor strip experiments</w:t>
            </w:r>
          </w:p>
        </w:tc>
        <w:tc>
          <w:tcPr>
            <w:tcW w:type="dxa" w:w="2160"/>
          </w:tcPr>
          <w:p>
            <w:pPr>
              <w:spacing w:line="240" w:lineRule="auto" w:after="40"/>
            </w:pPr>
            <w:r>
              <w:rPr>
                <w:sz w:val="20"/>
              </w:rPr>
            </w:r>
            <w:r>
              <w:rPr>
                <w:sz w:val="20"/>
              </w:rPr>
              <w:t>55</w:t>
            </w:r>
          </w:p>
        </w:tc>
        <w:tc>
          <w:tcPr>
            <w:tcW w:type="dxa" w:w="2160"/>
          </w:tcPr>
          <w:p>
            <w:pPr>
              <w:spacing w:line="240" w:lineRule="auto" w:after="40"/>
            </w:pPr>
            <w:r>
              <w:rPr>
                <w:sz w:val="20"/>
              </w:rPr>
            </w:r>
            <w:r>
              <w:rPr>
                <w:sz w:val="20"/>
              </w:rPr>
              <w:t>1</w:t>
            </w:r>
          </w:p>
        </w:tc>
        <w:tc>
          <w:tcPr>
            <w:tcW w:type="dxa" w:w="2160"/>
          </w:tcPr>
          <w:p>
            <w:pPr>
              <w:spacing w:line="240" w:lineRule="auto" w:after="40"/>
            </w:pPr>
            <w:r>
              <w:rPr>
                <w:sz w:val="20"/>
              </w:rPr>
            </w:r>
            <w:r>
              <w:rPr>
                <w:sz w:val="20"/>
              </w:rPr>
              <w:t>Pool boiling, water, orientation 0/90/180 degrees</w:t>
            </w:r>
          </w:p>
        </w:tc>
      </w:tr>
      <w:tr>
        <w:tc>
          <w:tcPr>
            <w:tcW w:type="dxa" w:w="2160"/>
          </w:tcPr>
          <w:p>
            <w:pPr>
              <w:spacing w:line="240" w:lineRule="auto" w:after="40"/>
            </w:pPr>
            <w:r>
              <w:rPr>
                <w:sz w:val="20"/>
              </w:rPr>
            </w:r>
            <w:r>
              <w:rPr>
                <w:sz w:val="20"/>
              </w:rPr>
              <w:t>Engineered-surface extraction</w:t>
            </w:r>
          </w:p>
        </w:tc>
        <w:tc>
          <w:tcPr>
            <w:tcW w:type="dxa" w:w="2160"/>
          </w:tcPr>
          <w:p>
            <w:pPr>
              <w:spacing w:line="240" w:lineRule="auto" w:after="40"/>
            </w:pPr>
            <w:r>
              <w:rPr>
                <w:sz w:val="20"/>
              </w:rPr>
            </w:r>
            <w:r>
              <w:rPr>
                <w:sz w:val="20"/>
              </w:rPr>
              <w:t>100</w:t>
            </w:r>
          </w:p>
        </w:tc>
        <w:tc>
          <w:tcPr>
            <w:tcW w:type="dxa" w:w="2160"/>
          </w:tcPr>
          <w:p>
            <w:pPr>
              <w:spacing w:line="240" w:lineRule="auto" w:after="40"/>
            </w:pPr>
            <w:r>
              <w:rPr>
                <w:sz w:val="20"/>
              </w:rPr>
            </w:r>
            <w:r>
              <w:rPr>
                <w:sz w:val="20"/>
              </w:rPr>
              <w:t>11</w:t>
            </w:r>
          </w:p>
        </w:tc>
        <w:tc>
          <w:tcPr>
            <w:tcW w:type="dxa" w:w="2160"/>
          </w:tcPr>
          <w:p>
            <w:pPr>
              <w:spacing w:line="240" w:lineRule="auto" w:after="40"/>
            </w:pPr>
            <w:r>
              <w:rPr>
                <w:sz w:val="20"/>
              </w:rPr>
            </w:r>
            <w:r>
              <w:rPr>
                <w:sz w:val="20"/>
              </w:rPr>
              <w:t>ATF claddings and coatings; roughness and contact angle</w:t>
            </w:r>
          </w:p>
        </w:tc>
      </w:tr>
    </w:tbl>
    <w:p/>
    <w:p>
      <w:pPr>
        <w:pStyle w:val="Heading3"/>
      </w:pPr>
      <w:r>
        <w:rPr>
          <w:rFonts w:ascii="Times New Roman" w:hAnsi="Times New Roman"/>
          <w:color w:val="000000"/>
        </w:rPr>
        <w:t>4.4 Synthetic augmentation</w:t>
      </w:r>
    </w:p>
    <w:p>
      <w:pPr>
        <w:jc w:val="both"/>
      </w:pPr>
      <w:r>
        <w:t xml:space="preserve">A Gaussian-Process generator was built to densify the look-up table interior, fitting a Matern-5/2 kernel on 2,000 real points and sampling the posterior at 8,000 off-grid query points, filtered against a grid-interpolation reference. 7,114 points were accepted (88.9%). A subsequent self-audit established that because every accepted point was filtered for agreement with grid interpolation, </w:t>
      </w:r>
      <w:r>
        <w:rPr>
          <w:b/>
        </w:rPr>
        <w:t>the synthetic data is not independent of that baseline</w:t>
      </w:r>
      <w:r>
        <w:t xml:space="preserve"> and must never be used to claim a model outperforms it. It is retained strictly for interior densification, and was excluded from all confounding analysis since synthetic rows have no laboratory of origin.</w:t>
      </w:r>
    </w:p>
    <w:p>
      <w:pPr>
        <w:pStyle w:val="Heading3"/>
      </w:pPr>
      <w:r>
        <w:rPr>
          <w:rFonts w:ascii="Times New Roman" w:hAnsi="Times New Roman"/>
          <w:color w:val="000000"/>
        </w:rPr>
        <w:t>4.5 Deliberate exclusions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line="240" w:lineRule="auto" w:after="40"/>
            </w:pPr>
            <w:r>
              <w:rPr>
                <w:b/>
                <w:sz w:val="20"/>
              </w:rPr>
            </w:r>
            <w:r>
              <w:rPr>
                <w:b/>
                <w:sz w:val="20"/>
              </w:rPr>
              <w:t>Excluded</w:t>
            </w:r>
          </w:p>
        </w:tc>
        <w:tc>
          <w:tcPr>
            <w:tcW w:type="dxa" w:w="4320"/>
          </w:tcPr>
          <w:p>
            <w:pPr>
              <w:spacing w:line="240" w:lineRule="auto" w:after="40"/>
            </w:pPr>
            <w:r>
              <w:rPr>
                <w:b/>
                <w:sz w:val="20"/>
              </w:rPr>
            </w:r>
            <w:r>
              <w:rPr>
                <w:b/>
                <w:sz w:val="20"/>
              </w:rPr>
              <w:t>Reason</w:t>
            </w:r>
          </w:p>
        </w:tc>
      </w:tr>
      <w:tr>
        <w:tc>
          <w:tcPr>
            <w:tcW w:type="dxa" w:w="4320"/>
          </w:tcPr>
          <w:p>
            <w:pPr>
              <w:spacing w:line="240" w:lineRule="auto" w:after="40"/>
            </w:pPr>
            <w:r>
              <w:rPr>
                <w:sz w:val="20"/>
              </w:rPr>
            </w:r>
            <w:r>
              <w:rPr>
                <w:sz w:val="20"/>
              </w:rPr>
              <w:t>Groeneveld look-up table from the merged corpus</w:t>
            </w:r>
          </w:p>
        </w:tc>
        <w:tc>
          <w:tcPr>
            <w:tcW w:type="dxa" w:w="4320"/>
          </w:tcPr>
          <w:p>
            <w:pPr>
              <w:spacing w:line="240" w:lineRule="auto" w:after="40"/>
            </w:pPr>
            <w:r>
              <w:rPr>
                <w:sz w:val="20"/>
              </w:rPr>
            </w:r>
            <w:r>
              <w:rPr>
                <w:sz w:val="20"/>
              </w:rPr>
              <w:t>A smoothed, interpolated table on a perfectly regular grid, not independent raw measurement. It is also not independent of the NRC database, being constructed from the same historical experiments. Merging would double-count and bias training.</w:t>
            </w:r>
          </w:p>
        </w:tc>
      </w:tr>
      <w:tr>
        <w:tc>
          <w:tcPr>
            <w:tcW w:type="dxa" w:w="4320"/>
          </w:tcPr>
          <w:p>
            <w:pPr>
              <w:spacing w:line="240" w:lineRule="auto" w:after="40"/>
            </w:pPr>
            <w:r>
              <w:rPr>
                <w:sz w:val="20"/>
              </w:rPr>
            </w:r>
            <w:r>
              <w:rPr>
                <w:sz w:val="20"/>
              </w:rPr>
              <w:t>NUREG Table 4-1 sample (21 rows)</w:t>
            </w:r>
          </w:p>
        </w:tc>
        <w:tc>
          <w:tcPr>
            <w:tcW w:type="dxa" w:w="4320"/>
          </w:tcPr>
          <w:p>
            <w:pPr>
              <w:spacing w:line="240" w:lineRule="auto" w:after="40"/>
            </w:pPr>
            <w:r>
              <w:rPr>
                <w:sz w:val="20"/>
              </w:rPr>
            </w:r>
            <w:r>
              <w:rPr>
                <w:sz w:val="20"/>
              </w:rPr>
              <w:t>Merge validation established that all 21 rows are exact-value duplicates already present in the NRC database; both digitise the same Lowdermilk 1958 experiment. Inclusion would place identical rows under two source labels, a direct leakage risk for source-wise splits.</w:t>
            </w:r>
          </w:p>
        </w:tc>
      </w:tr>
      <w:tr>
        <w:tc>
          <w:tcPr>
            <w:tcW w:type="dxa" w:w="4320"/>
          </w:tcPr>
          <w:p>
            <w:pPr>
              <w:spacing w:line="240" w:lineRule="auto" w:after="40"/>
            </w:pPr>
            <w:r>
              <w:rPr>
                <w:sz w:val="20"/>
              </w:rPr>
            </w:r>
            <w:r>
              <w:rPr>
                <w:sz w:val="20"/>
              </w:rPr>
              <w:t>"CHF Dataset.csv"</w:t>
            </w:r>
          </w:p>
        </w:tc>
        <w:tc>
          <w:tcPr>
            <w:tcW w:type="dxa" w:w="4320"/>
          </w:tcPr>
          <w:p>
            <w:pPr>
              <w:spacing w:line="240" w:lineRule="auto" w:after="40"/>
            </w:pPr>
            <w:r>
              <w:rPr>
                <w:sz w:val="20"/>
              </w:rPr>
            </w:r>
            <w:r>
              <w:rPr>
                <w:sz w:val="20"/>
              </w:rPr>
              <w:t>Byte-identical duplicate of the pin-fin file.</w:t>
            </w:r>
          </w:p>
        </w:tc>
      </w:tr>
      <w:tr>
        <w:tc>
          <w:tcPr>
            <w:tcW w:type="dxa" w:w="4320"/>
          </w:tcPr>
          <w:p>
            <w:pPr>
              <w:spacing w:line="240" w:lineRule="auto" w:after="40"/>
            </w:pPr>
            <w:r>
              <w:rPr>
                <w:sz w:val="20"/>
              </w:rPr>
            </w:r>
            <w:r>
              <w:rPr>
                <w:sz w:val="20"/>
              </w:rPr>
              <w:t>Helical minichannel evaporator logs (32 runs)</w:t>
            </w:r>
          </w:p>
        </w:tc>
        <w:tc>
          <w:tcPr>
            <w:tcW w:type="dxa" w:w="4320"/>
          </w:tcPr>
          <w:p>
            <w:pPr>
              <w:spacing w:line="240" w:lineRule="auto" w:after="40"/>
            </w:pPr>
            <w:r>
              <w:rPr>
                <w:sz w:val="20"/>
              </w:rPr>
            </w:r>
            <w:r>
              <w:rPr>
                <w:sz w:val="20"/>
              </w:rPr>
              <w:t>Raw sensor time-series were parsed and a burnout detector applied, but the recorded output is heater power, not heat flux; conversion required per-geometry heated-area assumptions too subjective to justify for 32 rows.</w:t>
            </w:r>
          </w:p>
        </w:tc>
      </w:tr>
      <w:tr>
        <w:tc>
          <w:tcPr>
            <w:tcW w:type="dxa" w:w="4320"/>
          </w:tcPr>
          <w:p>
            <w:pPr>
              <w:spacing w:line="240" w:lineRule="auto" w:after="40"/>
            </w:pPr>
            <w:r>
              <w:rPr>
                <w:sz w:val="20"/>
              </w:rPr>
            </w:r>
            <w:r>
              <w:rPr>
                <w:sz w:val="20"/>
              </w:rPr>
              <w:t>Source-summary tables (Serrao, Liang nanofluid, supercritical, narrow-channel)</w:t>
            </w:r>
          </w:p>
        </w:tc>
        <w:tc>
          <w:tcPr>
            <w:tcW w:type="dxa" w:w="4320"/>
          </w:tcPr>
          <w:p>
            <w:pPr>
              <w:spacing w:line="240" w:lineRule="auto" w:after="40"/>
            </w:pPr>
            <w:r>
              <w:rPr>
                <w:sz w:val="20"/>
              </w:rPr>
            </w:r>
            <w:r>
              <w:rPr>
                <w:sz w:val="20"/>
              </w:rPr>
              <w:t>These list parameter ranges and study metadata but contain no point-level CHF. Retained as provenance and target lists only.</w:t>
            </w:r>
          </w:p>
        </w:tc>
      </w:tr>
    </w:tbl>
    <w:p/>
    <w:p>
      <w:pPr>
        <w:jc w:val="center"/>
      </w:pPr>
      <w:r>
        <w:rPr>
          <w:sz w:val="20"/>
        </w:rPr>
        <w:t>• • •</w:t>
      </w:r>
    </w:p>
    <w:p>
      <w:pPr>
        <w:pStyle w:val="Heading2"/>
      </w:pPr>
      <w:r>
        <w:rPr>
          <w:rFonts w:ascii="Times New Roman" w:hAnsi="Times New Roman"/>
          <w:color w:val="000000"/>
        </w:rPr>
        <w:t>5. Phase IV — Cleaning and preprocessing</w:t>
      </w:r>
    </w:p>
    <w:p>
      <w:pPr>
        <w:pStyle w:val="Heading3"/>
      </w:pPr>
      <w:r>
        <w:rPr>
          <w:rFonts w:ascii="Times New Roman" w:hAnsi="Times New Roman"/>
          <w:color w:val="000000"/>
        </w:rPr>
        <w:t>5.1 Data defects found and fixed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Defect</w:t>
            </w:r>
          </w:p>
        </w:tc>
        <w:tc>
          <w:tcPr>
            <w:tcW w:type="dxa" w:w="2880"/>
          </w:tcPr>
          <w:p>
            <w:pPr>
              <w:spacing w:line="240" w:lineRule="auto" w:after="40"/>
            </w:pPr>
            <w:r>
              <w:rPr>
                <w:b/>
                <w:sz w:val="20"/>
              </w:rPr>
            </w:r>
            <w:r>
              <w:rPr>
                <w:b/>
                <w:sz w:val="20"/>
              </w:rPr>
              <w:t>Consequence if uncorrected</w:t>
            </w:r>
          </w:p>
        </w:tc>
        <w:tc>
          <w:tcPr>
            <w:tcW w:type="dxa" w:w="2880"/>
          </w:tcPr>
          <w:p>
            <w:pPr>
              <w:spacing w:line="240" w:lineRule="auto" w:after="40"/>
            </w:pPr>
            <w:r>
              <w:rPr>
                <w:b/>
                <w:sz w:val="20"/>
              </w:rPr>
            </w:r>
            <w:r>
              <w:rPr>
                <w:b/>
                <w:sz w:val="20"/>
              </w:rPr>
              <w:t>Resolution</w:t>
            </w:r>
          </w:p>
        </w:tc>
      </w:tr>
      <w:tr>
        <w:tc>
          <w:tcPr>
            <w:tcW w:type="dxa" w:w="2880"/>
          </w:tcPr>
          <w:p>
            <w:pPr>
              <w:spacing w:line="240" w:lineRule="auto" w:after="40"/>
            </w:pPr>
            <w:r>
              <w:rPr>
                <w:sz w:val="20"/>
              </w:rPr>
            </w:r>
            <w:r>
              <w:rPr>
                <w:sz w:val="20"/>
              </w:rPr>
              <w:t>Units row beneath the header in the NRC export</w:t>
            </w:r>
          </w:p>
        </w:tc>
        <w:tc>
          <w:tcPr>
            <w:tcW w:type="dxa" w:w="2880"/>
          </w:tcPr>
          <w:p>
            <w:pPr>
              <w:spacing w:line="240" w:lineRule="auto" w:after="40"/>
            </w:pPr>
            <w:r>
              <w:rPr>
                <w:sz w:val="20"/>
              </w:rPr>
            </w:r>
            <w:r>
              <w:rPr>
                <w:sz w:val="20"/>
              </w:rPr>
              <w:t>Every column silently read as text; aggregate statistics returned nonsense, for example maximum pressure returning the string "kPa"</w:t>
            </w:r>
          </w:p>
        </w:tc>
        <w:tc>
          <w:tcPr>
            <w:tcW w:type="dxa" w:w="2880"/>
          </w:tcPr>
          <w:p>
            <w:pPr>
              <w:spacing w:line="240" w:lineRule="auto" w:after="40"/>
            </w:pPr>
            <w:r>
              <w:rPr>
                <w:sz w:val="20"/>
              </w:rPr>
            </w:r>
            <w:r>
              <w:rPr>
                <w:sz w:val="20"/>
              </w:rPr>
              <w:t>Row detected and dropped, with an assertion verifying zero coercion failures. Later replaced by a source-level fix; the reader now detects the row rather than assuming it, so it is correct on both file versions</w:t>
            </w:r>
          </w:p>
        </w:tc>
      </w:tr>
      <w:tr>
        <w:tc>
          <w:tcPr>
            <w:tcW w:type="dxa" w:w="2880"/>
          </w:tcPr>
          <w:p>
            <w:pPr>
              <w:spacing w:line="240" w:lineRule="auto" w:after="40"/>
            </w:pPr>
            <w:r>
              <w:rPr>
                <w:sz w:val="20"/>
              </w:rPr>
            </w:r>
            <w:r>
              <w:rPr>
                <w:sz w:val="20"/>
              </w:rPr>
              <w:t>136 exact duplicate rows in the NRC database</w:t>
            </w:r>
          </w:p>
        </w:tc>
        <w:tc>
          <w:tcPr>
            <w:tcW w:type="dxa" w:w="2880"/>
          </w:tcPr>
          <w:p>
            <w:pPr>
              <w:spacing w:line="240" w:lineRule="auto" w:after="40"/>
            </w:pPr>
            <w:r>
              <w:rPr>
                <w:sz w:val="20"/>
              </w:rPr>
            </w:r>
            <w:r>
              <w:rPr>
                <w:sz w:val="20"/>
              </w:rPr>
              <w:t>Identical experiments appearing under different reference IDs, inflating random-split scores</w:t>
            </w:r>
          </w:p>
        </w:tc>
        <w:tc>
          <w:tcPr>
            <w:tcW w:type="dxa" w:w="2880"/>
          </w:tcPr>
          <w:p>
            <w:pPr>
              <w:spacing w:line="240" w:lineRule="auto" w:after="40"/>
            </w:pPr>
            <w:r>
              <w:rPr>
                <w:sz w:val="20"/>
              </w:rPr>
            </w:r>
            <w:r>
              <w:rPr>
                <w:sz w:val="20"/>
              </w:rPr>
              <w:t>Removed; 24,579 to 24,443. Both versions retained for inspection</w:t>
            </w:r>
          </w:p>
        </w:tc>
      </w:tr>
      <w:tr>
        <w:tc>
          <w:tcPr>
            <w:tcW w:type="dxa" w:w="2880"/>
          </w:tcPr>
          <w:p>
            <w:pPr>
              <w:spacing w:line="240" w:lineRule="auto" w:after="40"/>
            </w:pPr>
            <w:r>
              <w:rPr>
                <w:sz w:val="20"/>
              </w:rPr>
            </w:r>
            <w:r>
              <w:rPr>
                <w:sz w:val="20"/>
              </w:rPr>
              <w:t>Pin-fin study labels present only on the first row of each block</w:t>
            </w:r>
          </w:p>
        </w:tc>
        <w:tc>
          <w:tcPr>
            <w:tcW w:type="dxa" w:w="2880"/>
          </w:tcPr>
          <w:p>
            <w:pPr>
              <w:spacing w:line="240" w:lineRule="auto" w:after="40"/>
            </w:pPr>
            <w:r>
              <w:rPr>
                <w:sz w:val="20"/>
              </w:rPr>
            </w:r>
            <w:r>
              <w:rPr>
                <w:sz w:val="20"/>
              </w:rPr>
              <w:t>90% of rows would have carried no laboratory label, making source-wise validation impossible</w:t>
            </w:r>
          </w:p>
        </w:tc>
        <w:tc>
          <w:tcPr>
            <w:tcW w:type="dxa" w:w="2880"/>
          </w:tcPr>
          <w:p>
            <w:pPr>
              <w:spacing w:line="240" w:lineRule="auto" w:after="40"/>
            </w:pPr>
            <w:r>
              <w:rPr>
                <w:sz w:val="20"/>
              </w:rPr>
            </w:r>
            <w:r>
              <w:rPr>
                <w:sz w:val="20"/>
              </w:rPr>
              <w:t>Forward-filled; block contiguity independently verified as 16 blocks summing to 175 rows with no label spanning two blocks</w:t>
            </w:r>
          </w:p>
        </w:tc>
      </w:tr>
      <w:tr>
        <w:tc>
          <w:tcPr>
            <w:tcW w:type="dxa" w:w="2880"/>
          </w:tcPr>
          <w:p>
            <w:pPr>
              <w:spacing w:line="240" w:lineRule="auto" w:after="40"/>
            </w:pPr>
            <w:r>
              <w:rPr>
                <w:sz w:val="20"/>
              </w:rPr>
            </w:r>
            <w:r>
              <w:rPr>
                <w:sz w:val="20"/>
              </w:rPr>
              <w:t>KAERI pressure in Pa and heat flux in W/m2 misread as kPa and kW/m2</w:t>
            </w:r>
          </w:p>
        </w:tc>
        <w:tc>
          <w:tcPr>
            <w:tcW w:type="dxa" w:w="2880"/>
          </w:tcPr>
          <w:p>
            <w:pPr>
              <w:spacing w:line="240" w:lineRule="auto" w:after="40"/>
            </w:pPr>
            <w:r>
              <w:rPr>
                <w:sz w:val="20"/>
              </w:rPr>
            </w:r>
            <w:r>
              <w:rPr>
                <w:sz w:val="20"/>
              </w:rPr>
              <w:t>Merged pressures of 180,000 bar and CHF of 28.8 GW/m2; pressure became a perfect source indicator</w:t>
            </w:r>
          </w:p>
        </w:tc>
        <w:tc>
          <w:tcPr>
            <w:tcW w:type="dxa" w:w="2880"/>
          </w:tcPr>
          <w:p>
            <w:pPr>
              <w:spacing w:line="240" w:lineRule="auto" w:after="40"/>
            </w:pPr>
            <w:r>
              <w:rPr>
                <w:sz w:val="20"/>
              </w:rPr>
            </w:r>
            <w:r>
              <w:rPr>
                <w:sz w:val="20"/>
              </w:rPr>
              <w:t>Units stated explicitly from the source; all heuristic unit detection removed and replaced with physical plausibility assertions that abort the run</w:t>
            </w:r>
          </w:p>
        </w:tc>
      </w:tr>
      <w:tr>
        <w:tc>
          <w:tcPr>
            <w:tcW w:type="dxa" w:w="2880"/>
          </w:tcPr>
          <w:p>
            <w:pPr>
              <w:spacing w:line="240" w:lineRule="auto" w:after="40"/>
            </w:pPr>
            <w:r>
              <w:rPr>
                <w:sz w:val="20"/>
              </w:rPr>
            </w:r>
            <w:r>
              <w:rPr>
                <w:sz w:val="20"/>
              </w:rPr>
              <w:t>Mixed-type study labels across sources</w:t>
            </w:r>
          </w:p>
        </w:tc>
        <w:tc>
          <w:tcPr>
            <w:tcW w:type="dxa" w:w="2880"/>
          </w:tcPr>
          <w:p>
            <w:pPr>
              <w:spacing w:line="240" w:lineRule="auto" w:after="40"/>
            </w:pPr>
            <w:r>
              <w:rPr>
                <w:sz w:val="20"/>
              </w:rPr>
            </w:r>
            <w:r>
              <w:rPr>
                <w:sz w:val="20"/>
              </w:rPr>
              <w:t>Grouped cross-validation crashed on unsortable group arrays</w:t>
            </w:r>
          </w:p>
        </w:tc>
        <w:tc>
          <w:tcPr>
            <w:tcW w:type="dxa" w:w="2880"/>
          </w:tcPr>
          <w:p>
            <w:pPr>
              <w:spacing w:line="240" w:lineRule="auto" w:after="40"/>
            </w:pPr>
            <w:r>
              <w:rPr>
                <w:sz w:val="20"/>
              </w:rPr>
            </w:r>
            <w:r>
              <w:rPr>
                <w:sz w:val="20"/>
              </w:rPr>
              <w:t>Source-prefixed string labels throughout</w:t>
            </w:r>
          </w:p>
        </w:tc>
      </w:tr>
    </w:tbl>
    <w:p/>
    <w:p>
      <w:pPr>
        <w:pStyle w:val="Heading3"/>
      </w:pPr>
      <w:r>
        <w:rPr>
          <w:rFonts w:ascii="Times New Roman" w:hAnsi="Times New Roman"/>
          <w:color w:val="000000"/>
        </w:rPr>
        <w:t>5.2 Preprocessing conventions</w:t>
      </w:r>
    </w:p>
    <w:p>
      <w:pPr>
        <w:pStyle w:val="ListBullet"/>
        <w:spacing w:line="360" w:lineRule="auto"/>
      </w:pPr>
      <w:r>
        <w:rPr>
          <w:b/>
        </w:rPr>
        <w:t>Target transform.</w:t>
      </w:r>
      <w:r>
        <w:t xml:space="preserve"> All models train on log(CHF). Values span three orders of magnitude; raw-target training lets large values dominate the loss.</w:t>
      </w:r>
    </w:p>
    <w:p>
      <w:pPr>
        <w:pStyle w:val="ListBullet"/>
        <w:spacing w:line="360" w:lineRule="auto"/>
      </w:pPr>
      <w:r>
        <w:rPr>
          <w:b/>
        </w:rPr>
        <w:t>Scaling.</w:t>
      </w:r>
      <w:r>
        <w:t xml:space="preserve"> Standardisation applied inside cross-validation pipelines for scale-sensitive learners (SVR, GPR, k-NN, neural networks, linear models) so the scaler is refitted per fold and never sees held-out data. Tree ensembles are scale-invariant and receive raw inputs.</w:t>
      </w:r>
    </w:p>
    <w:p>
      <w:pPr>
        <w:pStyle w:val="ListBullet"/>
        <w:spacing w:line="360" w:lineRule="auto"/>
      </w:pPr>
      <w:r>
        <w:rPr>
          <w:b/>
        </w:rPr>
        <w:t>Missing values.</w:t>
      </w:r>
      <w:r>
        <w:t xml:space="preserve"> Where a source genuinely does not report a quantity the field is left empty, never imputed. Pool-boiling records have no mass flux because nothing flows; that is a structural absence, not a missing measurement.</w:t>
      </w:r>
    </w:p>
    <w:p>
      <w:pPr>
        <w:pStyle w:val="ListBullet"/>
        <w:spacing w:line="360" w:lineRule="auto"/>
      </w:pPr>
      <w:r>
        <w:rPr>
          <w:b/>
        </w:rPr>
        <w:t>Fluid properties.</w:t>
      </w:r>
      <w:r>
        <w:t xml:space="preserve"> Saturation properties computed from CoolProp for water, R-134a and R-123, with a tabulated FC-72 supplement.</w:t>
      </w:r>
    </w:p>
    <w:p>
      <w:pPr>
        <w:pStyle w:val="ListBullet"/>
        <w:spacing w:line="360" w:lineRule="auto"/>
      </w:pPr>
      <w:r>
        <w:rPr>
          <w:b/>
        </w:rPr>
        <w:t>Leakage control.</w:t>
      </w:r>
      <w:r>
        <w:t xml:space="preserve"> Answer-side quantities excluded by rule: the KAERI Power, Area and Perimeter columns reconstruct heat flux exactly and are never used as inputs.</w:t>
      </w:r>
    </w:p>
    <w:p>
      <w:pPr>
        <w:jc w:val="center"/>
      </w:pPr>
      <w:r>
        <w:rPr>
          <w:sz w:val="20"/>
        </w:rPr>
        <w:t>• • •</w:t>
      </w:r>
    </w:p>
    <w:p>
      <w:pPr>
        <w:pStyle w:val="Heading2"/>
      </w:pPr>
      <w:r>
        <w:rPr>
          <w:rFonts w:ascii="Times New Roman" w:hAnsi="Times New Roman"/>
          <w:color w:val="000000"/>
        </w:rPr>
        <w:t>6. Phase V — Unified dataset and split strategies</w:t>
      </w:r>
    </w:p>
    <w:p>
      <w:pPr>
        <w:jc w:val="both"/>
      </w:pPr>
      <w:r>
        <w:t xml:space="preserve">Seven point-level sources were merged into a single canonical schema of one row per measured CHF, with unit harmonisation to metres, kPa, kg/m2s and kW/m2. Every conversion factor is stated explicitly from the source documentation; no unit is inferred. The merged corpus holds </w:t>
      </w:r>
      <w:r>
        <w:rPr>
          <w:b/>
        </w:rPr>
        <w:t>28,470 experimental records</w:t>
      </w:r>
      <w:r>
        <w:t xml:space="preserve"> across 50 canonical columns including computed fluid properties.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Strategy</w:t>
            </w:r>
          </w:p>
        </w:tc>
        <w:tc>
          <w:tcPr>
            <w:tcW w:type="dxa" w:w="2880"/>
          </w:tcPr>
          <w:p>
            <w:pPr>
              <w:spacing w:line="240" w:lineRule="auto" w:after="40"/>
            </w:pPr>
            <w:r>
              <w:rPr>
                <w:b/>
                <w:sz w:val="20"/>
              </w:rPr>
            </w:r>
            <w:r>
              <w:rPr>
                <w:b/>
                <w:sz w:val="20"/>
              </w:rPr>
              <w:t>Construction</w:t>
            </w:r>
          </w:p>
        </w:tc>
        <w:tc>
          <w:tcPr>
            <w:tcW w:type="dxa" w:w="2880"/>
          </w:tcPr>
          <w:p>
            <w:pPr>
              <w:spacing w:line="240" w:lineRule="auto" w:after="40"/>
            </w:pPr>
            <w:r>
              <w:rPr>
                <w:b/>
                <w:sz w:val="20"/>
              </w:rPr>
            </w:r>
            <w:r>
              <w:rPr>
                <w:b/>
                <w:sz w:val="20"/>
              </w:rPr>
              <w:t>Question it answers</w:t>
            </w:r>
          </w:p>
        </w:tc>
      </w:tr>
      <w:tr>
        <w:tc>
          <w:tcPr>
            <w:tcW w:type="dxa" w:w="2880"/>
          </w:tcPr>
          <w:p>
            <w:pPr>
              <w:spacing w:line="240" w:lineRule="auto" w:after="40"/>
            </w:pPr>
            <w:r>
              <w:rPr>
                <w:sz w:val="20"/>
              </w:rPr>
            </w:r>
            <w:r>
              <w:rPr>
                <w:sz w:val="20"/>
              </w:rPr>
              <w:t>1 — Random, stratified</w:t>
            </w:r>
          </w:p>
        </w:tc>
        <w:tc>
          <w:tcPr>
            <w:tcW w:type="dxa" w:w="2880"/>
          </w:tcPr>
          <w:p>
            <w:pPr>
              <w:spacing w:line="240" w:lineRule="auto" w:after="40"/>
            </w:pPr>
            <w:r>
              <w:rPr>
                <w:sz w:val="20"/>
              </w:rPr>
            </w:r>
            <w:r>
              <w:rPr>
                <w:sz w:val="20"/>
              </w:rPr>
              <w:t>Stratified by source dataset</w:t>
            </w:r>
          </w:p>
        </w:tc>
        <w:tc>
          <w:tcPr>
            <w:tcW w:type="dxa" w:w="2880"/>
          </w:tcPr>
          <w:p>
            <w:pPr>
              <w:spacing w:line="240" w:lineRule="auto" w:after="40"/>
            </w:pPr>
            <w:r>
              <w:rPr>
                <w:sz w:val="20"/>
              </w:rPr>
            </w:r>
            <w:r>
              <w:rPr>
                <w:sz w:val="20"/>
              </w:rPr>
              <w:t>Interpolation within known conditions. The optimistic protocol used by most published work</w:t>
            </w:r>
          </w:p>
        </w:tc>
      </w:tr>
      <w:tr>
        <w:tc>
          <w:tcPr>
            <w:tcW w:type="dxa" w:w="2880"/>
          </w:tcPr>
          <w:p>
            <w:pPr>
              <w:spacing w:line="240" w:lineRule="auto" w:after="40"/>
            </w:pPr>
            <w:r>
              <w:rPr>
                <w:sz w:val="20"/>
              </w:rPr>
            </w:r>
            <w:r>
              <w:rPr>
                <w:sz w:val="20"/>
              </w:rPr>
              <w:t>2 — Condition-wise</w:t>
            </w:r>
          </w:p>
        </w:tc>
        <w:tc>
          <w:tcPr>
            <w:tcW w:type="dxa" w:w="2880"/>
          </w:tcPr>
          <w:p>
            <w:pPr>
              <w:spacing w:line="240" w:lineRule="auto" w:after="40"/>
            </w:pPr>
            <w:r>
              <w:rPr>
                <w:sz w:val="20"/>
              </w:rPr>
            </w:r>
            <w:r>
              <w:rPr>
                <w:sz w:val="20"/>
              </w:rPr>
              <w:t>Per-source top-pressure holdout</w:t>
            </w:r>
          </w:p>
        </w:tc>
        <w:tc>
          <w:tcPr>
            <w:tcW w:type="dxa" w:w="2880"/>
          </w:tcPr>
          <w:p>
            <w:pPr>
              <w:spacing w:line="240" w:lineRule="auto" w:after="40"/>
            </w:pPr>
            <w:r>
              <w:rPr>
                <w:sz w:val="20"/>
              </w:rPr>
            </w:r>
            <w:r>
              <w:rPr>
                <w:sz w:val="20"/>
              </w:rPr>
              <w:t>Extrapolation to unseen operating conditions</w:t>
            </w:r>
          </w:p>
        </w:tc>
      </w:tr>
      <w:tr>
        <w:tc>
          <w:tcPr>
            <w:tcW w:type="dxa" w:w="2880"/>
          </w:tcPr>
          <w:p>
            <w:pPr>
              <w:spacing w:line="240" w:lineRule="auto" w:after="40"/>
            </w:pPr>
            <w:r>
              <w:rPr>
                <w:sz w:val="20"/>
              </w:rPr>
            </w:r>
            <w:r>
              <w:rPr>
                <w:sz w:val="20"/>
              </w:rPr>
              <w:t>3 — Surface-wise</w:t>
            </w:r>
          </w:p>
        </w:tc>
        <w:tc>
          <w:tcPr>
            <w:tcW w:type="dxa" w:w="2880"/>
          </w:tcPr>
          <w:p>
            <w:pPr>
              <w:spacing w:line="240" w:lineRule="auto" w:after="40"/>
            </w:pPr>
            <w:r>
              <w:rPr>
                <w:sz w:val="20"/>
              </w:rPr>
            </w:r>
            <w:r>
              <w:rPr>
                <w:sz w:val="20"/>
              </w:rPr>
              <w:t>Whole surface types withheld (pin-fin, helical)</w:t>
            </w:r>
          </w:p>
        </w:tc>
        <w:tc>
          <w:tcPr>
            <w:tcW w:type="dxa" w:w="2880"/>
          </w:tcPr>
          <w:p>
            <w:pPr>
              <w:spacing w:line="240" w:lineRule="auto" w:after="40"/>
            </w:pPr>
            <w:r>
              <w:rPr>
                <w:sz w:val="20"/>
              </w:rPr>
            </w:r>
            <w:r>
              <w:rPr>
                <w:sz w:val="20"/>
              </w:rPr>
              <w:t>Generalisation to an unseen surface or geometry</w:t>
            </w:r>
          </w:p>
        </w:tc>
      </w:tr>
      <w:tr>
        <w:tc>
          <w:tcPr>
            <w:tcW w:type="dxa" w:w="2880"/>
          </w:tcPr>
          <w:p>
            <w:pPr>
              <w:spacing w:line="240" w:lineRule="auto" w:after="40"/>
            </w:pPr>
            <w:r>
              <w:rPr>
                <w:sz w:val="20"/>
              </w:rPr>
            </w:r>
            <w:r>
              <w:rPr>
                <w:sz w:val="20"/>
              </w:rPr>
              <w:t>4 — Leave-one-source-out</w:t>
            </w:r>
          </w:p>
        </w:tc>
        <w:tc>
          <w:tcPr>
            <w:tcW w:type="dxa" w:w="2880"/>
          </w:tcPr>
          <w:p>
            <w:pPr>
              <w:spacing w:line="240" w:lineRule="auto" w:after="40"/>
            </w:pPr>
            <w:r>
              <w:rPr>
                <w:sz w:val="20"/>
              </w:rPr>
            </w:r>
            <w:r>
              <w:rPr>
                <w:sz w:val="20"/>
              </w:rPr>
              <w:t>Each source dataset held out in turn</w:t>
            </w:r>
          </w:p>
        </w:tc>
        <w:tc>
          <w:tcPr>
            <w:tcW w:type="dxa" w:w="2880"/>
          </w:tcPr>
          <w:p>
            <w:pPr>
              <w:spacing w:line="240" w:lineRule="auto" w:after="40"/>
            </w:pPr>
            <w:r>
              <w:rPr>
                <w:sz w:val="20"/>
              </w:rPr>
            </w:r>
            <w:r>
              <w:rPr>
                <w:sz w:val="20"/>
              </w:rPr>
              <w:t>Generalisation to an unseen laboratory</w:t>
            </w:r>
          </w:p>
        </w:tc>
      </w:tr>
    </w:tbl>
    <w:p/>
    <w:p>
      <w:pPr>
        <w:pStyle w:val="Heading3"/>
      </w:pPr>
      <w:r>
        <w:rPr>
          <w:rFonts w:ascii="Times New Roman" w:hAnsi="Times New Roman"/>
          <w:color w:val="000000"/>
        </w:rPr>
        <w:t>6.1 Degeneracy detection</w:t>
      </w:r>
    </w:p>
    <w:p>
      <w:pPr>
        <w:jc w:val="both"/>
      </w:pPr>
      <w:r>
        <w:t>An automated check was added after two split definitions were found to be mislabelled. Every grouped split is now tested for all-singleton groups, which make a grouped split mathematically identical to a random one, and for groups exceeding 95% purity with respect to source labels, which make it a source split wearing a different name. Both conditions had occurred and were being reported as independent protocols; both are now flagged automatically in the results table.</w:t>
      </w:r>
    </w:p>
    <w:p>
      <w:pPr>
        <w:jc w:val="center"/>
      </w:pPr>
      <w:r>
        <w:rPr>
          <w:sz w:val="20"/>
        </w:rPr>
        <w:t>• • •</w:t>
      </w:r>
    </w:p>
    <w:p>
      <w:pPr>
        <w:pStyle w:val="Heading2"/>
      </w:pPr>
      <w:r>
        <w:rPr>
          <w:rFonts w:ascii="Times New Roman" w:hAnsi="Times New Roman"/>
          <w:color w:val="000000"/>
        </w:rPr>
        <w:t>7. Phase VI — Model bake-off</w:t>
      </w:r>
    </w:p>
    <w:p>
      <w:pPr>
        <w:jc w:val="both"/>
      </w:pPr>
      <w:r>
        <w:t>Models evaluated: linear regression, degree-2 polynomial ridge, k-nearest neighbours, support-vector regression with RBF kernel, multilayer perceptron, Random Forest, Extra Trees, XGBoost, LightGBM, CatBoost, Gaussian Process with Matern-5/2 kernel, a stacking ensemble, a histogram gradient-boosting machine, a physics-informed network, and a proposed two-tier hierarchy. Metrics recorded throughout: R2, RMSE, MAE, MAPE and training time.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40" w:lineRule="auto" w:after="40"/>
            </w:pPr>
            <w:r>
              <w:rPr>
                <w:b/>
                <w:sz w:val="20"/>
              </w:rPr>
            </w:r>
            <w:r>
              <w:rPr>
                <w:b/>
                <w:sz w:val="20"/>
              </w:rPr>
              <w:t>Model</w:t>
            </w:r>
          </w:p>
        </w:tc>
        <w:tc>
          <w:tcPr>
            <w:tcW w:type="dxa" w:w="1728"/>
          </w:tcPr>
          <w:p>
            <w:pPr>
              <w:spacing w:line="240" w:lineRule="auto" w:after="40"/>
            </w:pPr>
            <w:r>
              <w:rPr>
                <w:b/>
                <w:sz w:val="20"/>
              </w:rPr>
            </w:r>
            <w:r>
              <w:rPr>
                <w:b/>
                <w:sz w:val="20"/>
              </w:rPr>
              <w:t>S1 random</w:t>
            </w:r>
          </w:p>
        </w:tc>
        <w:tc>
          <w:tcPr>
            <w:tcW w:type="dxa" w:w="1728"/>
          </w:tcPr>
          <w:p>
            <w:pPr>
              <w:spacing w:line="240" w:lineRule="auto" w:after="40"/>
            </w:pPr>
            <w:r>
              <w:rPr>
                <w:b/>
                <w:sz w:val="20"/>
              </w:rPr>
            </w:r>
            <w:r>
              <w:rPr>
                <w:b/>
                <w:sz w:val="20"/>
              </w:rPr>
              <w:t>S2 condition</w:t>
            </w:r>
          </w:p>
        </w:tc>
        <w:tc>
          <w:tcPr>
            <w:tcW w:type="dxa" w:w="1728"/>
          </w:tcPr>
          <w:p>
            <w:pPr>
              <w:spacing w:line="240" w:lineRule="auto" w:after="40"/>
            </w:pPr>
            <w:r>
              <w:rPr>
                <w:b/>
                <w:sz w:val="20"/>
              </w:rPr>
            </w:r>
            <w:r>
              <w:rPr>
                <w:b/>
                <w:sz w:val="20"/>
              </w:rPr>
              <w:t>S3 surface</w:t>
            </w:r>
          </w:p>
        </w:tc>
        <w:tc>
          <w:tcPr>
            <w:tcW w:type="dxa" w:w="1728"/>
          </w:tcPr>
          <w:p>
            <w:pPr>
              <w:spacing w:line="240" w:lineRule="auto" w:after="40"/>
            </w:pPr>
            <w:r>
              <w:rPr>
                <w:b/>
                <w:sz w:val="20"/>
              </w:rPr>
            </w:r>
            <w:r>
              <w:rPr>
                <w:b/>
                <w:sz w:val="20"/>
              </w:rPr>
              <w:t>S4 leave-one-source-out</w:t>
            </w:r>
          </w:p>
        </w:tc>
      </w:tr>
      <w:tr>
        <w:tc>
          <w:tcPr>
            <w:tcW w:type="dxa" w:w="1728"/>
          </w:tcPr>
          <w:p>
            <w:pPr>
              <w:spacing w:line="240" w:lineRule="auto" w:after="40"/>
            </w:pPr>
            <w:r>
              <w:rPr>
                <w:sz w:val="20"/>
              </w:rPr>
            </w:r>
            <w:r>
              <w:rPr>
                <w:sz w:val="20"/>
              </w:rPr>
              <w:t>HistGB</w:t>
            </w:r>
          </w:p>
        </w:tc>
        <w:tc>
          <w:tcPr>
            <w:tcW w:type="dxa" w:w="1728"/>
          </w:tcPr>
          <w:p>
            <w:pPr>
              <w:spacing w:line="240" w:lineRule="auto" w:after="40"/>
            </w:pPr>
            <w:r>
              <w:rPr>
                <w:sz w:val="20"/>
              </w:rPr>
            </w:r>
            <w:r>
              <w:rPr>
                <w:sz w:val="20"/>
              </w:rPr>
              <w:t>0.968</w:t>
            </w:r>
          </w:p>
        </w:tc>
        <w:tc>
          <w:tcPr>
            <w:tcW w:type="dxa" w:w="1728"/>
          </w:tcPr>
          <w:p>
            <w:pPr>
              <w:spacing w:line="240" w:lineRule="auto" w:after="40"/>
            </w:pPr>
            <w:r>
              <w:rPr>
                <w:sz w:val="20"/>
              </w:rPr>
            </w:r>
            <w:r>
              <w:rPr>
                <w:sz w:val="20"/>
              </w:rPr>
              <w:t>0.890</w:t>
            </w:r>
          </w:p>
        </w:tc>
        <w:tc>
          <w:tcPr>
            <w:tcW w:type="dxa" w:w="1728"/>
          </w:tcPr>
          <w:p>
            <w:pPr>
              <w:spacing w:line="240" w:lineRule="auto" w:after="40"/>
            </w:pPr>
            <w:r>
              <w:rPr>
                <w:sz w:val="20"/>
              </w:rPr>
            </w:r>
            <w:r>
              <w:rPr>
                <w:sz w:val="20"/>
              </w:rPr>
              <w:t>0.173</w:t>
            </w:r>
          </w:p>
        </w:tc>
        <w:tc>
          <w:tcPr>
            <w:tcW w:type="dxa" w:w="1728"/>
          </w:tcPr>
          <w:p>
            <w:pPr>
              <w:spacing w:line="240" w:lineRule="auto" w:after="40"/>
            </w:pPr>
            <w:r>
              <w:rPr>
                <w:sz w:val="20"/>
              </w:rPr>
            </w:r>
            <w:r>
              <w:rPr>
                <w:sz w:val="20"/>
              </w:rPr>
              <w:t>0.784</w:t>
            </w:r>
          </w:p>
        </w:tc>
      </w:tr>
      <w:tr>
        <w:tc>
          <w:tcPr>
            <w:tcW w:type="dxa" w:w="1728"/>
          </w:tcPr>
          <w:p>
            <w:pPr>
              <w:spacing w:line="240" w:lineRule="auto" w:after="40"/>
            </w:pPr>
            <w:r>
              <w:rPr>
                <w:sz w:val="20"/>
              </w:rPr>
            </w:r>
            <w:r>
              <w:rPr>
                <w:sz w:val="20"/>
              </w:rPr>
              <w:t>Random Forest</w:t>
            </w:r>
          </w:p>
        </w:tc>
        <w:tc>
          <w:tcPr>
            <w:tcW w:type="dxa" w:w="1728"/>
          </w:tcPr>
          <w:p>
            <w:pPr>
              <w:spacing w:line="240" w:lineRule="auto" w:after="40"/>
            </w:pPr>
            <w:r>
              <w:rPr>
                <w:sz w:val="20"/>
              </w:rPr>
            </w:r>
            <w:r>
              <w:rPr>
                <w:sz w:val="20"/>
              </w:rPr>
              <w:t>0.965</w:t>
            </w:r>
          </w:p>
        </w:tc>
        <w:tc>
          <w:tcPr>
            <w:tcW w:type="dxa" w:w="1728"/>
          </w:tcPr>
          <w:p>
            <w:pPr>
              <w:spacing w:line="240" w:lineRule="auto" w:after="40"/>
            </w:pPr>
            <w:r>
              <w:rPr>
                <w:sz w:val="20"/>
              </w:rPr>
            </w:r>
            <w:r>
              <w:rPr>
                <w:sz w:val="20"/>
              </w:rPr>
              <w:t>0.875</w:t>
            </w:r>
          </w:p>
        </w:tc>
        <w:tc>
          <w:tcPr>
            <w:tcW w:type="dxa" w:w="1728"/>
          </w:tcPr>
          <w:p>
            <w:pPr>
              <w:spacing w:line="240" w:lineRule="auto" w:after="40"/>
            </w:pPr>
            <w:r>
              <w:rPr>
                <w:sz w:val="20"/>
              </w:rPr>
            </w:r>
            <w:r>
              <w:rPr>
                <w:sz w:val="20"/>
              </w:rPr>
              <w:t>0.219</w:t>
            </w:r>
          </w:p>
        </w:tc>
        <w:tc>
          <w:tcPr>
            <w:tcW w:type="dxa" w:w="1728"/>
          </w:tcPr>
          <w:p>
            <w:pPr>
              <w:spacing w:line="240" w:lineRule="auto" w:after="40"/>
            </w:pPr>
            <w:r>
              <w:rPr>
                <w:sz w:val="20"/>
              </w:rPr>
            </w:r>
            <w:r>
              <w:rPr>
                <w:sz w:val="20"/>
              </w:rPr>
              <w:t>0.269</w:t>
            </w:r>
          </w:p>
        </w:tc>
      </w:tr>
      <w:tr>
        <w:tc>
          <w:tcPr>
            <w:tcW w:type="dxa" w:w="1728"/>
          </w:tcPr>
          <w:p>
            <w:pPr>
              <w:spacing w:line="240" w:lineRule="auto" w:after="40"/>
            </w:pPr>
            <w:r>
              <w:rPr>
                <w:sz w:val="20"/>
              </w:rPr>
            </w:r>
            <w:r>
              <w:rPr>
                <w:sz w:val="20"/>
              </w:rPr>
              <w:t>Proposed hierarchy</w:t>
            </w:r>
          </w:p>
        </w:tc>
        <w:tc>
          <w:tcPr>
            <w:tcW w:type="dxa" w:w="1728"/>
          </w:tcPr>
          <w:p>
            <w:pPr>
              <w:spacing w:line="240" w:lineRule="auto" w:after="40"/>
            </w:pPr>
            <w:r>
              <w:rPr>
                <w:sz w:val="20"/>
              </w:rPr>
            </w:r>
            <w:r>
              <w:rPr>
                <w:sz w:val="20"/>
              </w:rPr>
              <w:t>0.968</w:t>
            </w:r>
          </w:p>
        </w:tc>
        <w:tc>
          <w:tcPr>
            <w:tcW w:type="dxa" w:w="1728"/>
          </w:tcPr>
          <w:p>
            <w:pPr>
              <w:spacing w:line="240" w:lineRule="auto" w:after="40"/>
            </w:pPr>
            <w:r>
              <w:rPr>
                <w:sz w:val="20"/>
              </w:rPr>
            </w:r>
            <w:r>
              <w:rPr>
                <w:sz w:val="20"/>
              </w:rPr>
              <w:t>0.890</w:t>
            </w:r>
          </w:p>
        </w:tc>
        <w:tc>
          <w:tcPr>
            <w:tcW w:type="dxa" w:w="1728"/>
          </w:tcPr>
          <w:p>
            <w:pPr>
              <w:spacing w:line="240" w:lineRule="auto" w:after="40"/>
            </w:pPr>
            <w:r>
              <w:rPr>
                <w:sz w:val="20"/>
              </w:rPr>
            </w:r>
            <w:r>
              <w:rPr>
                <w:sz w:val="20"/>
              </w:rPr>
              <w:t>0.173</w:t>
            </w:r>
          </w:p>
        </w:tc>
        <w:tc>
          <w:tcPr>
            <w:tcW w:type="dxa" w:w="1728"/>
          </w:tcPr>
          <w:p>
            <w:pPr>
              <w:spacing w:line="240" w:lineRule="auto" w:after="40"/>
            </w:pPr>
            <w:r>
              <w:rPr>
                <w:sz w:val="20"/>
              </w:rPr>
            </w:r>
            <w:r>
              <w:rPr>
                <w:sz w:val="20"/>
              </w:rPr>
              <w:t>0.784</w:t>
            </w:r>
          </w:p>
        </w:tc>
      </w:tr>
      <w:tr>
        <w:tc>
          <w:tcPr>
            <w:tcW w:type="dxa" w:w="1728"/>
          </w:tcPr>
          <w:p>
            <w:pPr>
              <w:spacing w:line="240" w:lineRule="auto" w:after="40"/>
            </w:pPr>
            <w:r>
              <w:rPr>
                <w:sz w:val="20"/>
              </w:rPr>
            </w:r>
            <w:r>
              <w:rPr>
                <w:sz w:val="20"/>
              </w:rPr>
              <w:t>ANN</w:t>
            </w:r>
          </w:p>
        </w:tc>
        <w:tc>
          <w:tcPr>
            <w:tcW w:type="dxa" w:w="1728"/>
          </w:tcPr>
          <w:p>
            <w:pPr>
              <w:spacing w:line="240" w:lineRule="auto" w:after="40"/>
            </w:pPr>
            <w:r>
              <w:rPr>
                <w:sz w:val="20"/>
              </w:rPr>
            </w:r>
            <w:r>
              <w:rPr>
                <w:sz w:val="20"/>
              </w:rPr>
              <w:t>0.921</w:t>
            </w:r>
          </w:p>
        </w:tc>
        <w:tc>
          <w:tcPr>
            <w:tcW w:type="dxa" w:w="1728"/>
          </w:tcPr>
          <w:p>
            <w:pPr>
              <w:spacing w:line="240" w:lineRule="auto" w:after="40"/>
            </w:pPr>
            <w:r>
              <w:rPr>
                <w:sz w:val="20"/>
              </w:rPr>
            </w:r>
            <w:r>
              <w:rPr>
                <w:sz w:val="20"/>
              </w:rPr>
              <w:t>0.515</w:t>
            </w:r>
          </w:p>
        </w:tc>
        <w:tc>
          <w:tcPr>
            <w:tcW w:type="dxa" w:w="1728"/>
          </w:tcPr>
          <w:p>
            <w:pPr>
              <w:spacing w:line="240" w:lineRule="auto" w:after="40"/>
            </w:pPr>
            <w:r>
              <w:rPr>
                <w:sz w:val="20"/>
              </w:rPr>
            </w:r>
            <w:r>
              <w:rPr>
                <w:sz w:val="20"/>
              </w:rPr>
              <w:t>-4132.9</w:t>
            </w:r>
          </w:p>
        </w:tc>
        <w:tc>
          <w:tcPr>
            <w:tcW w:type="dxa" w:w="1728"/>
          </w:tcPr>
          <w:p>
            <w:pPr>
              <w:spacing w:line="240" w:lineRule="auto" w:after="40"/>
            </w:pPr>
            <w:r>
              <w:rPr>
                <w:sz w:val="20"/>
              </w:rPr>
            </w:r>
            <w:r>
              <w:rPr>
                <w:sz w:val="20"/>
              </w:rPr>
              <w:t>-5.150</w:t>
            </w:r>
          </w:p>
        </w:tc>
      </w:tr>
      <w:tr>
        <w:tc>
          <w:tcPr>
            <w:tcW w:type="dxa" w:w="1728"/>
          </w:tcPr>
          <w:p>
            <w:pPr>
              <w:spacing w:line="240" w:lineRule="auto" w:after="40"/>
            </w:pPr>
            <w:r>
              <w:rPr>
                <w:sz w:val="20"/>
              </w:rPr>
            </w:r>
            <w:r>
              <w:rPr>
                <w:sz w:val="20"/>
              </w:rPr>
              <w:t>GPR</w:t>
            </w:r>
          </w:p>
        </w:tc>
        <w:tc>
          <w:tcPr>
            <w:tcW w:type="dxa" w:w="1728"/>
          </w:tcPr>
          <w:p>
            <w:pPr>
              <w:spacing w:line="240" w:lineRule="auto" w:after="40"/>
            </w:pPr>
            <w:r>
              <w:rPr>
                <w:sz w:val="20"/>
              </w:rPr>
            </w:r>
            <w:r>
              <w:rPr>
                <w:sz w:val="20"/>
              </w:rPr>
              <w:t>0.872</w:t>
            </w:r>
          </w:p>
        </w:tc>
        <w:tc>
          <w:tcPr>
            <w:tcW w:type="dxa" w:w="1728"/>
          </w:tcPr>
          <w:p>
            <w:pPr>
              <w:spacing w:line="240" w:lineRule="auto" w:after="40"/>
            </w:pPr>
            <w:r>
              <w:rPr>
                <w:sz w:val="20"/>
              </w:rPr>
            </w:r>
            <w:r>
              <w:rPr>
                <w:sz w:val="20"/>
              </w:rPr>
              <w:t>-0.051</w:t>
            </w:r>
          </w:p>
        </w:tc>
        <w:tc>
          <w:tcPr>
            <w:tcW w:type="dxa" w:w="1728"/>
          </w:tcPr>
          <w:p>
            <w:pPr>
              <w:spacing w:line="240" w:lineRule="auto" w:after="40"/>
            </w:pPr>
            <w:r>
              <w:rPr>
                <w:sz w:val="20"/>
              </w:rPr>
            </w:r>
            <w:r>
              <w:rPr>
                <w:sz w:val="20"/>
              </w:rPr>
              <w:t>-0.813</w:t>
            </w:r>
          </w:p>
        </w:tc>
        <w:tc>
          <w:tcPr>
            <w:tcW w:type="dxa" w:w="1728"/>
          </w:tcPr>
          <w:p>
            <w:pPr>
              <w:spacing w:line="240" w:lineRule="auto" w:after="40"/>
            </w:pPr>
            <w:r>
              <w:rPr>
                <w:sz w:val="20"/>
              </w:rPr>
            </w:r>
            <w:r>
              <w:rPr>
                <w:sz w:val="20"/>
              </w:rPr>
              <w:t>0.539</w:t>
            </w:r>
          </w:p>
        </w:tc>
      </w:tr>
      <w:tr>
        <w:tc>
          <w:tcPr>
            <w:tcW w:type="dxa" w:w="1728"/>
          </w:tcPr>
          <w:p>
            <w:pPr>
              <w:spacing w:line="240" w:lineRule="auto" w:after="40"/>
            </w:pPr>
            <w:r>
              <w:rPr>
                <w:sz w:val="20"/>
              </w:rPr>
            </w:r>
            <w:r>
              <w:rPr>
                <w:sz w:val="20"/>
              </w:rPr>
              <w:t>PINN</w:t>
            </w:r>
          </w:p>
        </w:tc>
        <w:tc>
          <w:tcPr>
            <w:tcW w:type="dxa" w:w="1728"/>
          </w:tcPr>
          <w:p>
            <w:pPr>
              <w:spacing w:line="240" w:lineRule="auto" w:after="40"/>
            </w:pPr>
            <w:r>
              <w:rPr>
                <w:sz w:val="20"/>
              </w:rPr>
            </w:r>
            <w:r>
              <w:rPr>
                <w:sz w:val="20"/>
              </w:rPr>
              <w:t>0.876</w:t>
            </w:r>
          </w:p>
        </w:tc>
        <w:tc>
          <w:tcPr>
            <w:tcW w:type="dxa" w:w="1728"/>
          </w:tcPr>
          <w:p>
            <w:pPr>
              <w:spacing w:line="240" w:lineRule="auto" w:after="40"/>
            </w:pPr>
            <w:r>
              <w:rPr>
                <w:sz w:val="20"/>
              </w:rPr>
            </w:r>
            <w:r>
              <w:rPr>
                <w:sz w:val="20"/>
              </w:rPr>
              <w:t>-64.9</w:t>
            </w:r>
          </w:p>
        </w:tc>
        <w:tc>
          <w:tcPr>
            <w:tcW w:type="dxa" w:w="1728"/>
          </w:tcPr>
          <w:p>
            <w:pPr>
              <w:spacing w:line="240" w:lineRule="auto" w:after="40"/>
            </w:pPr>
            <w:r>
              <w:rPr>
                <w:sz w:val="20"/>
              </w:rPr>
            </w:r>
            <w:r>
              <w:rPr>
                <w:sz w:val="20"/>
              </w:rPr>
              <w:t>-3906.9</w:t>
            </w:r>
          </w:p>
        </w:tc>
        <w:tc>
          <w:tcPr>
            <w:tcW w:type="dxa" w:w="1728"/>
          </w:tcPr>
          <w:p>
            <w:pPr>
              <w:spacing w:line="240" w:lineRule="auto" w:after="40"/>
            </w:pPr>
            <w:r>
              <w:rPr>
                <w:sz w:val="20"/>
              </w:rPr>
            </w:r>
            <w:r>
              <w:rPr>
                <w:sz w:val="20"/>
              </w:rPr>
              <w:t>-6.022</w:t>
            </w:r>
          </w:p>
        </w:tc>
      </w:tr>
    </w:tbl>
    <w:p/>
    <w:p>
      <w:pPr>
        <w:jc w:val="both"/>
      </w:pPr>
      <w:r>
        <w:t>The collapse from column one to columns three and four is the central quantitative observation of the programme.</w:t>
      </w:r>
    </w:p>
    <w:p>
      <w:pPr>
        <w:pStyle w:val="Heading3"/>
      </w:pPr>
      <w:r>
        <w:rPr>
          <w:rFonts w:ascii="Times New Roman" w:hAnsi="Times New Roman"/>
          <w:color w:val="000000"/>
        </w:rPr>
        <w:t>7.1 Findings</w:t>
      </w:r>
    </w:p>
    <w:p>
      <w:pPr>
        <w:pStyle w:val="ListBullet"/>
        <w:spacing w:line="360" w:lineRule="auto"/>
      </w:pPr>
      <w:r>
        <w:rPr>
          <w:b/>
        </w:rPr>
        <w:t>Neural architectures are catastrophically unstable on held-out surfaces</w:t>
      </w:r>
      <w:r>
        <w:t>, reaching R2 of -4,133 (ANN) and -3,907 (PINN) under surface-wise splitting. These are not merely poor scores; a deployed model behaving this way would produce arbitrary predictions.</w:t>
      </w:r>
    </w:p>
    <w:p>
      <w:pPr>
        <w:pStyle w:val="ListBullet"/>
        <w:spacing w:line="360" w:lineRule="auto"/>
      </w:pPr>
      <w:r>
        <w:rPr>
          <w:b/>
        </w:rPr>
        <w:t>Gradient boosting is the most robust family</w:t>
      </w:r>
      <w:r>
        <w:t>, holding 0.784 under leave-one-source-out where Random Forest falls to 0.269.</w:t>
      </w:r>
    </w:p>
    <w:p>
      <w:pPr>
        <w:pStyle w:val="ListBullet"/>
        <w:spacing w:line="360" w:lineRule="auto"/>
      </w:pPr>
      <w:r>
        <w:rPr>
          <w:b/>
        </w:rPr>
        <w:t>Ensembling did not help.</w:t>
      </w:r>
      <w:r>
        <w:t xml:space="preserve"> A stacking ensemble of Random Forest, XGBoost and SVR performed worse than a single Extra Trees model under honest splits (0.459 versus 0.945 on pin-fin), because the meta-learner's weights are themselves fitted to the training laboratories.</w:t>
      </w:r>
    </w:p>
    <w:p>
      <w:pPr>
        <w:pStyle w:val="ListBullet"/>
        <w:spacing w:line="360" w:lineRule="auto"/>
      </w:pPr>
      <w:r>
        <w:rPr>
          <w:b/>
        </w:rPr>
        <w:t>Simple models often win when extrapolating.</w:t>
      </w:r>
      <w:r>
        <w:t xml:space="preserve"> On the KAERI leave-one-publication-out evaluation, plain linear regression (0.605) outperformed CatBoost, XGBoost and Gaussian Process.</w:t>
      </w:r>
    </w:p>
    <w:p>
      <w:pPr>
        <w:jc w:val="center"/>
      </w:pPr>
      <w:r>
        <w:rPr>
          <w:sz w:val="20"/>
        </w:rPr>
        <w:t>• • •</w:t>
      </w:r>
    </w:p>
    <w:p>
      <w:pPr>
        <w:pStyle w:val="Heading2"/>
      </w:pPr>
      <w:r>
        <w:rPr>
          <w:rFonts w:ascii="Times New Roman" w:hAnsi="Times New Roman"/>
          <w:color w:val="000000"/>
        </w:rPr>
        <w:t>8. Phase VII — Source-level confounding</w:t>
      </w:r>
    </w:p>
    <w:p>
      <w:pPr>
        <w:jc w:val="both"/>
      </w:pPr>
      <w:r>
        <w:t>The repeated collapse under source-wise splitting prompted a direct investigation: are the surface-to-CHF relationships in compiled databases genuine physics, or artefacts of which laboratory produced each measurement?</w:t>
      </w:r>
    </w:p>
    <w:p>
      <w:pPr>
        <w:pStyle w:val="Heading3"/>
      </w:pPr>
      <w:r>
        <w:rPr>
          <w:rFonts w:ascii="Times New Roman" w:hAnsi="Times New Roman"/>
          <w:color w:val="000000"/>
        </w:rPr>
        <w:t>8.1 Variance attributable to laboratory identity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after="40"/>
            </w:pPr>
            <w:r>
              <w:rPr>
                <w:b/>
                <w:sz w:val="20"/>
              </w:rPr>
            </w:r>
            <w:r>
              <w:rPr>
                <w:b/>
                <w:sz w:val="20"/>
              </w:rPr>
              <w:t>Dataset</w:t>
            </w:r>
          </w:p>
        </w:tc>
        <w:tc>
          <w:tcPr>
            <w:tcW w:type="dxa" w:w="1440"/>
          </w:tcPr>
          <w:p>
            <w:pPr>
              <w:spacing w:line="240" w:lineRule="auto" w:after="40"/>
            </w:pPr>
            <w:r>
              <w:rPr>
                <w:b/>
                <w:sz w:val="20"/>
              </w:rPr>
            </w:r>
            <w:r>
              <w:rPr>
                <w:b/>
                <w:sz w:val="20"/>
              </w:rPr>
              <w:t>Rows</w:t>
            </w:r>
          </w:p>
        </w:tc>
        <w:tc>
          <w:tcPr>
            <w:tcW w:type="dxa" w:w="1440"/>
          </w:tcPr>
          <w:p>
            <w:pPr>
              <w:spacing w:line="240" w:lineRule="auto" w:after="40"/>
            </w:pPr>
            <w:r>
              <w:rPr>
                <w:b/>
                <w:sz w:val="20"/>
              </w:rPr>
            </w:r>
            <w:r>
              <w:rPr>
                <w:b/>
                <w:sz w:val="20"/>
              </w:rPr>
              <w:t>Publications</w:t>
            </w:r>
          </w:p>
        </w:tc>
        <w:tc>
          <w:tcPr>
            <w:tcW w:type="dxa" w:w="1440"/>
          </w:tcPr>
          <w:p>
            <w:pPr>
              <w:spacing w:line="240" w:lineRule="auto" w:after="40"/>
            </w:pPr>
            <w:r>
              <w:rPr>
                <w:b/>
                <w:sz w:val="20"/>
              </w:rPr>
            </w:r>
            <w:r>
              <w:rPr>
                <w:b/>
                <w:sz w:val="20"/>
              </w:rPr>
              <w:t>Rows per publication</w:t>
            </w:r>
          </w:p>
        </w:tc>
        <w:tc>
          <w:tcPr>
            <w:tcW w:type="dxa" w:w="1440"/>
          </w:tcPr>
          <w:p>
            <w:pPr>
              <w:spacing w:line="240" w:lineRule="auto" w:after="40"/>
            </w:pPr>
            <w:r>
              <w:rPr>
                <w:b/>
                <w:sz w:val="20"/>
              </w:rPr>
            </w:r>
            <w:r>
              <w:rPr>
                <w:b/>
                <w:sz w:val="20"/>
              </w:rPr>
              <w:t>Variance from source identity</w:t>
            </w:r>
          </w:p>
        </w:tc>
        <w:tc>
          <w:tcPr>
            <w:tcW w:type="dxa" w:w="1440"/>
          </w:tcPr>
          <w:p>
            <w:pPr>
              <w:spacing w:line="240" w:lineRule="auto" w:after="40"/>
            </w:pPr>
            <w:r>
              <w:rPr>
                <w:b/>
                <w:sz w:val="20"/>
              </w:rPr>
            </w:r>
            <w:r>
              <w:rPr>
                <w:b/>
                <w:sz w:val="20"/>
              </w:rPr>
              <w:t>Gain from physical features</w:t>
            </w:r>
          </w:p>
        </w:tc>
      </w:tr>
      <w:tr>
        <w:tc>
          <w:tcPr>
            <w:tcW w:type="dxa" w:w="1440"/>
          </w:tcPr>
          <w:p>
            <w:pPr>
              <w:spacing w:line="240" w:lineRule="auto" w:after="40"/>
            </w:pPr>
            <w:r>
              <w:rPr>
                <w:sz w:val="20"/>
              </w:rPr>
            </w:r>
            <w:r>
              <w:rPr>
                <w:sz w:val="20"/>
              </w:rPr>
              <w:t>Engineered surface (ATF)</w:t>
            </w:r>
          </w:p>
        </w:tc>
        <w:tc>
          <w:tcPr>
            <w:tcW w:type="dxa" w:w="1440"/>
          </w:tcPr>
          <w:p>
            <w:pPr>
              <w:spacing w:line="240" w:lineRule="auto" w:after="40"/>
            </w:pPr>
            <w:r>
              <w:rPr>
                <w:sz w:val="20"/>
              </w:rPr>
            </w:r>
            <w:r>
              <w:rPr>
                <w:sz w:val="20"/>
              </w:rPr>
              <w:t>65</w:t>
            </w:r>
          </w:p>
        </w:tc>
        <w:tc>
          <w:tcPr>
            <w:tcW w:type="dxa" w:w="1440"/>
          </w:tcPr>
          <w:p>
            <w:pPr>
              <w:spacing w:line="240" w:lineRule="auto" w:after="40"/>
            </w:pPr>
            <w:r>
              <w:rPr>
                <w:sz w:val="20"/>
              </w:rPr>
            </w:r>
            <w:r>
              <w:rPr>
                <w:sz w:val="20"/>
              </w:rPr>
              <w:t>10</w:t>
            </w:r>
          </w:p>
        </w:tc>
        <w:tc>
          <w:tcPr>
            <w:tcW w:type="dxa" w:w="1440"/>
          </w:tcPr>
          <w:p>
            <w:pPr>
              <w:spacing w:line="240" w:lineRule="auto" w:after="40"/>
            </w:pPr>
            <w:r>
              <w:rPr>
                <w:sz w:val="20"/>
              </w:rPr>
            </w:r>
            <w:r>
              <w:rPr>
                <w:sz w:val="20"/>
              </w:rPr>
              <w:t>6.5</w:t>
            </w:r>
          </w:p>
        </w:tc>
        <w:tc>
          <w:tcPr>
            <w:tcW w:type="dxa" w:w="1440"/>
          </w:tcPr>
          <w:p>
            <w:pPr>
              <w:spacing w:line="240" w:lineRule="auto" w:after="40"/>
            </w:pPr>
            <w:r>
              <w:rPr>
                <w:sz w:val="20"/>
              </w:rPr>
            </w:r>
            <w:r>
              <w:rPr>
                <w:sz w:val="20"/>
              </w:rPr>
              <w:t>0.806</w:t>
            </w:r>
          </w:p>
        </w:tc>
        <w:tc>
          <w:tcPr>
            <w:tcW w:type="dxa" w:w="1440"/>
          </w:tcPr>
          <w:p>
            <w:pPr>
              <w:spacing w:line="240" w:lineRule="auto" w:after="40"/>
            </w:pPr>
            <w:r>
              <w:rPr>
                <w:sz w:val="20"/>
              </w:rPr>
            </w:r>
            <w:r>
              <w:rPr>
                <w:sz w:val="20"/>
              </w:rPr>
              <w:t>+0.041</w:t>
            </w:r>
          </w:p>
        </w:tc>
      </w:tr>
      <w:tr>
        <w:tc>
          <w:tcPr>
            <w:tcW w:type="dxa" w:w="1440"/>
          </w:tcPr>
          <w:p>
            <w:pPr>
              <w:spacing w:line="240" w:lineRule="auto" w:after="40"/>
            </w:pPr>
            <w:r>
              <w:rPr>
                <w:sz w:val="20"/>
              </w:rPr>
            </w:r>
            <w:r>
              <w:rPr>
                <w:sz w:val="20"/>
              </w:rPr>
              <w:t>KAERI</w:t>
            </w:r>
          </w:p>
        </w:tc>
        <w:tc>
          <w:tcPr>
            <w:tcW w:type="dxa" w:w="1440"/>
          </w:tcPr>
          <w:p>
            <w:pPr>
              <w:spacing w:line="240" w:lineRule="auto" w:after="40"/>
            </w:pPr>
            <w:r>
              <w:rPr>
                <w:sz w:val="20"/>
              </w:rPr>
            </w:r>
            <w:r>
              <w:rPr>
                <w:sz w:val="20"/>
              </w:rPr>
              <w:t>888</w:t>
            </w:r>
          </w:p>
        </w:tc>
        <w:tc>
          <w:tcPr>
            <w:tcW w:type="dxa" w:w="1440"/>
          </w:tcPr>
          <w:p>
            <w:pPr>
              <w:spacing w:line="240" w:lineRule="auto" w:after="40"/>
            </w:pPr>
            <w:r>
              <w:rPr>
                <w:sz w:val="20"/>
              </w:rPr>
            </w:r>
            <w:r>
              <w:rPr>
                <w:sz w:val="20"/>
              </w:rPr>
              <w:t>11</w:t>
            </w:r>
          </w:p>
        </w:tc>
        <w:tc>
          <w:tcPr>
            <w:tcW w:type="dxa" w:w="1440"/>
          </w:tcPr>
          <w:p>
            <w:pPr>
              <w:spacing w:line="240" w:lineRule="auto" w:after="40"/>
            </w:pPr>
            <w:r>
              <w:rPr>
                <w:sz w:val="20"/>
              </w:rPr>
            </w:r>
            <w:r>
              <w:rPr>
                <w:sz w:val="20"/>
              </w:rPr>
              <w:t>80.7</w:t>
            </w:r>
          </w:p>
        </w:tc>
        <w:tc>
          <w:tcPr>
            <w:tcW w:type="dxa" w:w="1440"/>
          </w:tcPr>
          <w:p>
            <w:pPr>
              <w:spacing w:line="240" w:lineRule="auto" w:after="40"/>
            </w:pPr>
            <w:r>
              <w:rPr>
                <w:sz w:val="20"/>
              </w:rPr>
            </w:r>
            <w:r>
              <w:rPr>
                <w:sz w:val="20"/>
              </w:rPr>
              <w:t>0.735</w:t>
            </w:r>
          </w:p>
        </w:tc>
        <w:tc>
          <w:tcPr>
            <w:tcW w:type="dxa" w:w="1440"/>
          </w:tcPr>
          <w:p>
            <w:pPr>
              <w:spacing w:line="240" w:lineRule="auto" w:after="40"/>
            </w:pPr>
            <w:r>
              <w:rPr>
                <w:sz w:val="20"/>
              </w:rPr>
            </w:r>
            <w:r>
              <w:rPr>
                <w:sz w:val="20"/>
              </w:rPr>
              <w:t>+0.187</w:t>
            </w:r>
          </w:p>
        </w:tc>
      </w:tr>
      <w:tr>
        <w:tc>
          <w:tcPr>
            <w:tcW w:type="dxa" w:w="1440"/>
          </w:tcPr>
          <w:p>
            <w:pPr>
              <w:spacing w:line="240" w:lineRule="auto" w:after="40"/>
            </w:pPr>
            <w:r>
              <w:rPr>
                <w:sz w:val="20"/>
              </w:rPr>
            </w:r>
            <w:r>
              <w:rPr>
                <w:sz w:val="20"/>
              </w:rPr>
              <w:t>Pin-fin</w:t>
            </w:r>
          </w:p>
        </w:tc>
        <w:tc>
          <w:tcPr>
            <w:tcW w:type="dxa" w:w="1440"/>
          </w:tcPr>
          <w:p>
            <w:pPr>
              <w:spacing w:line="240" w:lineRule="auto" w:after="40"/>
            </w:pPr>
            <w:r>
              <w:rPr>
                <w:sz w:val="20"/>
              </w:rPr>
            </w:r>
            <w:r>
              <w:rPr>
                <w:sz w:val="20"/>
              </w:rPr>
              <w:t>175</w:t>
            </w:r>
          </w:p>
        </w:tc>
        <w:tc>
          <w:tcPr>
            <w:tcW w:type="dxa" w:w="1440"/>
          </w:tcPr>
          <w:p>
            <w:pPr>
              <w:spacing w:line="240" w:lineRule="auto" w:after="40"/>
            </w:pPr>
            <w:r>
              <w:rPr>
                <w:sz w:val="20"/>
              </w:rPr>
            </w:r>
            <w:r>
              <w:rPr>
                <w:sz w:val="20"/>
              </w:rPr>
              <w:t>16</w:t>
            </w:r>
          </w:p>
        </w:tc>
        <w:tc>
          <w:tcPr>
            <w:tcW w:type="dxa" w:w="1440"/>
          </w:tcPr>
          <w:p>
            <w:pPr>
              <w:spacing w:line="240" w:lineRule="auto" w:after="40"/>
            </w:pPr>
            <w:r>
              <w:rPr>
                <w:sz w:val="20"/>
              </w:rPr>
            </w:r>
            <w:r>
              <w:rPr>
                <w:sz w:val="20"/>
              </w:rPr>
              <w:t>10.9</w:t>
            </w:r>
          </w:p>
        </w:tc>
        <w:tc>
          <w:tcPr>
            <w:tcW w:type="dxa" w:w="1440"/>
          </w:tcPr>
          <w:p>
            <w:pPr>
              <w:spacing w:line="240" w:lineRule="auto" w:after="40"/>
            </w:pPr>
            <w:r>
              <w:rPr>
                <w:sz w:val="20"/>
              </w:rPr>
            </w:r>
            <w:r>
              <w:rPr>
                <w:sz w:val="20"/>
              </w:rPr>
              <w:t>0.659</w:t>
            </w:r>
          </w:p>
        </w:tc>
        <w:tc>
          <w:tcPr>
            <w:tcW w:type="dxa" w:w="1440"/>
          </w:tcPr>
          <w:p>
            <w:pPr>
              <w:spacing w:line="240" w:lineRule="auto" w:after="40"/>
            </w:pPr>
            <w:r>
              <w:rPr>
                <w:sz w:val="20"/>
              </w:rPr>
            </w:r>
            <w:r>
              <w:rPr>
                <w:sz w:val="20"/>
              </w:rPr>
              <w:t>+0.303</w:t>
            </w:r>
          </w:p>
        </w:tc>
      </w:tr>
      <w:tr>
        <w:tc>
          <w:tcPr>
            <w:tcW w:type="dxa" w:w="1440"/>
          </w:tcPr>
          <w:p>
            <w:pPr>
              <w:spacing w:line="240" w:lineRule="auto" w:after="40"/>
            </w:pPr>
            <w:r>
              <w:rPr>
                <w:sz w:val="20"/>
              </w:rPr>
            </w:r>
            <w:r>
              <w:rPr>
                <w:sz w:val="20"/>
              </w:rPr>
              <w:t>NRC</w:t>
            </w:r>
          </w:p>
        </w:tc>
        <w:tc>
          <w:tcPr>
            <w:tcW w:type="dxa" w:w="1440"/>
          </w:tcPr>
          <w:p>
            <w:pPr>
              <w:spacing w:line="240" w:lineRule="auto" w:after="40"/>
            </w:pPr>
            <w:r>
              <w:rPr>
                <w:sz w:val="20"/>
              </w:rPr>
            </w:r>
            <w:r>
              <w:rPr>
                <w:sz w:val="20"/>
              </w:rPr>
              <w:t>24,443</w:t>
            </w:r>
          </w:p>
        </w:tc>
        <w:tc>
          <w:tcPr>
            <w:tcW w:type="dxa" w:w="1440"/>
          </w:tcPr>
          <w:p>
            <w:pPr>
              <w:spacing w:line="240" w:lineRule="auto" w:after="40"/>
            </w:pPr>
            <w:r>
              <w:rPr>
                <w:sz w:val="20"/>
              </w:rPr>
            </w:r>
            <w:r>
              <w:rPr>
                <w:sz w:val="20"/>
              </w:rPr>
              <w:t>60</w:t>
            </w:r>
          </w:p>
        </w:tc>
        <w:tc>
          <w:tcPr>
            <w:tcW w:type="dxa" w:w="1440"/>
          </w:tcPr>
          <w:p>
            <w:pPr>
              <w:spacing w:line="240" w:lineRule="auto" w:after="40"/>
            </w:pPr>
            <w:r>
              <w:rPr>
                <w:sz w:val="20"/>
              </w:rPr>
            </w:r>
            <w:r>
              <w:rPr>
                <w:sz w:val="20"/>
              </w:rPr>
              <w:t>407.4</w:t>
            </w:r>
          </w:p>
        </w:tc>
        <w:tc>
          <w:tcPr>
            <w:tcW w:type="dxa" w:w="1440"/>
          </w:tcPr>
          <w:p>
            <w:pPr>
              <w:spacing w:line="240" w:lineRule="auto" w:after="40"/>
            </w:pPr>
            <w:r>
              <w:rPr>
                <w:sz w:val="20"/>
              </w:rPr>
            </w:r>
            <w:r>
              <w:rPr>
                <w:sz w:val="20"/>
              </w:rPr>
              <w:t>0.345</w:t>
            </w:r>
          </w:p>
        </w:tc>
        <w:tc>
          <w:tcPr>
            <w:tcW w:type="dxa" w:w="1440"/>
          </w:tcPr>
          <w:p>
            <w:pPr>
              <w:spacing w:line="240" w:lineRule="auto" w:after="40"/>
            </w:pPr>
            <w:r>
              <w:rPr>
                <w:sz w:val="20"/>
              </w:rPr>
            </w:r>
            <w:r>
              <w:rPr>
                <w:sz w:val="20"/>
              </w:rPr>
              <w:t>+0.556</w:t>
            </w:r>
          </w:p>
        </w:tc>
      </w:tr>
      <w:tr>
        <w:tc>
          <w:tcPr>
            <w:tcW w:type="dxa" w:w="1440"/>
          </w:tcPr>
          <w:p>
            <w:pPr>
              <w:spacing w:line="240" w:lineRule="auto" w:after="40"/>
            </w:pPr>
            <w:r>
              <w:rPr>
                <w:sz w:val="20"/>
              </w:rPr>
            </w:r>
            <w:r>
              <w:rPr>
                <w:sz w:val="20"/>
              </w:rPr>
              <w:t>Zhao</w:t>
            </w:r>
          </w:p>
        </w:tc>
        <w:tc>
          <w:tcPr>
            <w:tcW w:type="dxa" w:w="1440"/>
          </w:tcPr>
          <w:p>
            <w:pPr>
              <w:spacing w:line="240" w:lineRule="auto" w:after="40"/>
            </w:pPr>
            <w:r>
              <w:rPr>
                <w:sz w:val="20"/>
              </w:rPr>
            </w:r>
            <w:r>
              <w:rPr>
                <w:sz w:val="20"/>
              </w:rPr>
              <w:t>1,865</w:t>
            </w:r>
          </w:p>
        </w:tc>
        <w:tc>
          <w:tcPr>
            <w:tcW w:type="dxa" w:w="1440"/>
          </w:tcPr>
          <w:p>
            <w:pPr>
              <w:spacing w:line="240" w:lineRule="auto" w:after="40"/>
            </w:pPr>
            <w:r>
              <w:rPr>
                <w:sz w:val="20"/>
              </w:rPr>
            </w:r>
            <w:r>
              <w:rPr>
                <w:sz w:val="20"/>
              </w:rPr>
              <w:t>10</w:t>
            </w:r>
          </w:p>
        </w:tc>
        <w:tc>
          <w:tcPr>
            <w:tcW w:type="dxa" w:w="1440"/>
          </w:tcPr>
          <w:p>
            <w:pPr>
              <w:spacing w:line="240" w:lineRule="auto" w:after="40"/>
            </w:pPr>
            <w:r>
              <w:rPr>
                <w:sz w:val="20"/>
              </w:rPr>
            </w:r>
            <w:r>
              <w:rPr>
                <w:sz w:val="20"/>
              </w:rPr>
              <w:t>186.5</w:t>
            </w:r>
          </w:p>
        </w:tc>
        <w:tc>
          <w:tcPr>
            <w:tcW w:type="dxa" w:w="1440"/>
          </w:tcPr>
          <w:p>
            <w:pPr>
              <w:spacing w:line="240" w:lineRule="auto" w:after="40"/>
            </w:pPr>
            <w:r>
              <w:rPr>
                <w:sz w:val="20"/>
              </w:rPr>
            </w:r>
            <w:r>
              <w:rPr>
                <w:sz w:val="20"/>
              </w:rPr>
              <w:t>0.273</w:t>
            </w:r>
          </w:p>
        </w:tc>
        <w:tc>
          <w:tcPr>
            <w:tcW w:type="dxa" w:w="1440"/>
          </w:tcPr>
          <w:p>
            <w:pPr>
              <w:spacing w:line="240" w:lineRule="auto" w:after="40"/>
            </w:pPr>
            <w:r>
              <w:rPr>
                <w:sz w:val="20"/>
              </w:rPr>
            </w:r>
            <w:r>
              <w:rPr>
                <w:sz w:val="20"/>
              </w:rPr>
              <w:t>+0.511</w:t>
            </w:r>
          </w:p>
        </w:tc>
      </w:tr>
    </w:tbl>
    <w:p/>
    <w:p>
      <w:pPr>
        <w:jc w:val="both"/>
      </w:pPr>
      <w:r>
        <w:t>On the engineered-surface data, knowing only which laboratory performed the test explains 80.6% of the variance in log CHF. Adding roughness *and* contact angle contributes a further 4.1 percentage points.</w:t>
      </w:r>
    </w:p>
    <w:p>
      <w:pPr>
        <w:pStyle w:val="Heading3"/>
      </w:pPr>
      <w:r>
        <w:rPr>
          <w:rFonts w:ascii="Times New Roman" w:hAnsi="Times New Roman"/>
          <w:color w:val="000000"/>
        </w:rPr>
        <w:t>8.2 Inversion of the physical relationship</w:t>
      </w:r>
    </w:p>
    <w:p>
      <w:pPr>
        <w:jc w:val="both"/>
      </w:pPr>
      <w:r>
        <w:t>Pooling laboratories does not merely weaken the surface signal; in two cases it reverses its sign.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after="40"/>
            </w:pPr>
            <w:r>
              <w:rPr>
                <w:b/>
                <w:sz w:val="20"/>
              </w:rPr>
            </w:r>
            <w:r>
              <w:rPr>
                <w:b/>
                <w:sz w:val="20"/>
              </w:rPr>
              <w:t>Dataset</w:t>
            </w:r>
          </w:p>
        </w:tc>
        <w:tc>
          <w:tcPr>
            <w:tcW w:type="dxa" w:w="1440"/>
          </w:tcPr>
          <w:p>
            <w:pPr>
              <w:spacing w:line="240" w:lineRule="auto" w:after="40"/>
            </w:pPr>
            <w:r>
              <w:rPr>
                <w:b/>
                <w:sz w:val="20"/>
              </w:rPr>
            </w:r>
            <w:r>
              <w:rPr>
                <w:b/>
                <w:sz w:val="20"/>
              </w:rPr>
              <w:t>Feature</w:t>
            </w:r>
          </w:p>
        </w:tc>
        <w:tc>
          <w:tcPr>
            <w:tcW w:type="dxa" w:w="1440"/>
          </w:tcPr>
          <w:p>
            <w:pPr>
              <w:spacing w:line="240" w:lineRule="auto" w:after="40"/>
            </w:pPr>
            <w:r>
              <w:rPr>
                <w:b/>
                <w:sz w:val="20"/>
              </w:rPr>
            </w:r>
            <w:r>
              <w:rPr>
                <w:b/>
                <w:sz w:val="20"/>
              </w:rPr>
              <w:t>Pooled correlation</w:t>
            </w:r>
          </w:p>
        </w:tc>
        <w:tc>
          <w:tcPr>
            <w:tcW w:type="dxa" w:w="1440"/>
          </w:tcPr>
          <w:p>
            <w:pPr>
              <w:spacing w:line="240" w:lineRule="auto" w:after="40"/>
            </w:pPr>
            <w:r>
              <w:rPr>
                <w:b/>
                <w:sz w:val="20"/>
              </w:rPr>
            </w:r>
            <w:r>
              <w:rPr>
                <w:b/>
                <w:sz w:val="20"/>
              </w:rPr>
              <w:t>Within-study correlation</w:t>
            </w:r>
          </w:p>
        </w:tc>
        <w:tc>
          <w:tcPr>
            <w:tcW w:type="dxa" w:w="1440"/>
          </w:tcPr>
          <w:p>
            <w:pPr>
              <w:spacing w:line="240" w:lineRule="auto" w:after="40"/>
            </w:pPr>
            <w:r>
              <w:rPr>
                <w:b/>
                <w:sz w:val="20"/>
              </w:rPr>
            </w:r>
            <w:r>
              <w:rPr>
                <w:b/>
                <w:sz w:val="20"/>
              </w:rPr>
              <w:t>Verdict</w:t>
            </w:r>
          </w:p>
        </w:tc>
        <w:tc>
          <w:tcPr>
            <w:tcW w:type="dxa" w:w="1440"/>
          </w:tcPr>
          <w:p>
            <w:pPr>
              <w:spacing w:line="240" w:lineRule="auto" w:after="40"/>
            </w:pPr>
            <w:r>
              <w:rPr>
                <w:b/>
                <w:sz w:val="20"/>
              </w:rPr>
            </w:r>
            <w:r>
              <w:rPr>
                <w:b/>
                <w:sz w:val="20"/>
              </w:rPr>
              <w:t>Studies agreeing</w:t>
            </w:r>
          </w:p>
        </w:tc>
      </w:tr>
      <w:tr>
        <w:tc>
          <w:tcPr>
            <w:tcW w:type="dxa" w:w="1440"/>
          </w:tcPr>
          <w:p>
            <w:pPr>
              <w:spacing w:line="240" w:lineRule="auto" w:after="40"/>
            </w:pPr>
            <w:r>
              <w:rPr>
                <w:sz w:val="20"/>
              </w:rPr>
            </w:r>
            <w:r>
              <w:rPr>
                <w:sz w:val="20"/>
              </w:rPr>
              <w:t>ATF surface</w:t>
            </w:r>
          </w:p>
        </w:tc>
        <w:tc>
          <w:tcPr>
            <w:tcW w:type="dxa" w:w="1440"/>
          </w:tcPr>
          <w:p>
            <w:pPr>
              <w:spacing w:line="240" w:lineRule="auto" w:after="40"/>
            </w:pPr>
            <w:r>
              <w:rPr>
                <w:sz w:val="20"/>
              </w:rPr>
            </w:r>
            <w:r>
              <w:rPr>
                <w:sz w:val="20"/>
              </w:rPr>
              <w:t>Roughness</w:t>
            </w:r>
          </w:p>
        </w:tc>
        <w:tc>
          <w:tcPr>
            <w:tcW w:type="dxa" w:w="1440"/>
          </w:tcPr>
          <w:p>
            <w:pPr>
              <w:spacing w:line="240" w:lineRule="auto" w:after="40"/>
            </w:pPr>
            <w:r>
              <w:rPr>
                <w:sz w:val="20"/>
              </w:rPr>
            </w:r>
            <w:r>
              <w:rPr>
                <w:sz w:val="20"/>
              </w:rPr>
              <w:t>-0.293</w:t>
            </w:r>
          </w:p>
        </w:tc>
        <w:tc>
          <w:tcPr>
            <w:tcW w:type="dxa" w:w="1440"/>
          </w:tcPr>
          <w:p>
            <w:pPr>
              <w:spacing w:line="240" w:lineRule="auto" w:after="40"/>
            </w:pPr>
            <w:r>
              <w:rPr>
                <w:sz w:val="20"/>
              </w:rPr>
            </w:r>
            <w:r>
              <w:rPr>
                <w:sz w:val="20"/>
              </w:rPr>
              <w:t>+0.439</w:t>
            </w:r>
          </w:p>
        </w:tc>
        <w:tc>
          <w:tcPr>
            <w:tcW w:type="dxa" w:w="1440"/>
          </w:tcPr>
          <w:p>
            <w:pPr>
              <w:spacing w:line="240" w:lineRule="auto" w:after="40"/>
            </w:pPr>
            <w:r>
              <w:rPr>
                <w:sz w:val="20"/>
              </w:rPr>
            </w:r>
            <w:r>
              <w:rPr>
                <w:sz w:val="20"/>
              </w:rPr>
              <w:t>sign reversal</w:t>
            </w:r>
          </w:p>
        </w:tc>
        <w:tc>
          <w:tcPr>
            <w:tcW w:type="dxa" w:w="1440"/>
          </w:tcPr>
          <w:p>
            <w:pPr>
              <w:spacing w:line="240" w:lineRule="auto" w:after="40"/>
            </w:pPr>
            <w:r>
              <w:rPr>
                <w:sz w:val="20"/>
              </w:rPr>
            </w:r>
            <w:r>
              <w:rPr>
                <w:sz w:val="20"/>
              </w:rPr>
              <w:t>5 of 5</w:t>
            </w:r>
          </w:p>
        </w:tc>
      </w:tr>
      <w:tr>
        <w:tc>
          <w:tcPr>
            <w:tcW w:type="dxa" w:w="1440"/>
          </w:tcPr>
          <w:p>
            <w:pPr>
              <w:spacing w:line="240" w:lineRule="auto" w:after="40"/>
            </w:pPr>
            <w:r>
              <w:rPr>
                <w:sz w:val="20"/>
              </w:rPr>
            </w:r>
            <w:r>
              <w:rPr>
                <w:sz w:val="20"/>
              </w:rPr>
              <w:t>Pin-fin</w:t>
            </w:r>
          </w:p>
        </w:tc>
        <w:tc>
          <w:tcPr>
            <w:tcW w:type="dxa" w:w="1440"/>
          </w:tcPr>
          <w:p>
            <w:pPr>
              <w:spacing w:line="240" w:lineRule="auto" w:after="40"/>
            </w:pPr>
            <w:r>
              <w:rPr>
                <w:sz w:val="20"/>
              </w:rPr>
            </w:r>
            <w:r>
              <w:rPr>
                <w:sz w:val="20"/>
              </w:rPr>
              <w:t>Subcooling</w:t>
            </w:r>
          </w:p>
        </w:tc>
        <w:tc>
          <w:tcPr>
            <w:tcW w:type="dxa" w:w="1440"/>
          </w:tcPr>
          <w:p>
            <w:pPr>
              <w:spacing w:line="240" w:lineRule="auto" w:after="40"/>
            </w:pPr>
            <w:r>
              <w:rPr>
                <w:sz w:val="20"/>
              </w:rPr>
            </w:r>
            <w:r>
              <w:rPr>
                <w:sz w:val="20"/>
              </w:rPr>
              <w:t>-0.092</w:t>
            </w:r>
          </w:p>
        </w:tc>
        <w:tc>
          <w:tcPr>
            <w:tcW w:type="dxa" w:w="1440"/>
          </w:tcPr>
          <w:p>
            <w:pPr>
              <w:spacing w:line="240" w:lineRule="auto" w:after="40"/>
            </w:pPr>
            <w:r>
              <w:rPr>
                <w:sz w:val="20"/>
              </w:rPr>
            </w:r>
            <w:r>
              <w:rPr>
                <w:sz w:val="20"/>
              </w:rPr>
              <w:t>+0.537</w:t>
            </w:r>
          </w:p>
        </w:tc>
        <w:tc>
          <w:tcPr>
            <w:tcW w:type="dxa" w:w="1440"/>
          </w:tcPr>
          <w:p>
            <w:pPr>
              <w:spacing w:line="240" w:lineRule="auto" w:after="40"/>
            </w:pPr>
            <w:r>
              <w:rPr>
                <w:sz w:val="20"/>
              </w:rPr>
            </w:r>
            <w:r>
              <w:rPr>
                <w:sz w:val="20"/>
              </w:rPr>
              <w:t>sign reversal</w:t>
            </w:r>
          </w:p>
        </w:tc>
        <w:tc>
          <w:tcPr>
            <w:tcW w:type="dxa" w:w="1440"/>
          </w:tcPr>
          <w:p>
            <w:pPr>
              <w:spacing w:line="240" w:lineRule="auto" w:after="40"/>
            </w:pPr>
            <w:r>
              <w:rPr>
                <w:sz w:val="20"/>
              </w:rPr>
            </w:r>
            <w:r>
              <w:rPr>
                <w:sz w:val="20"/>
              </w:rPr>
              <w:t>6 of 6</w:t>
            </w:r>
          </w:p>
        </w:tc>
      </w:tr>
      <w:tr>
        <w:tc>
          <w:tcPr>
            <w:tcW w:type="dxa" w:w="1440"/>
          </w:tcPr>
          <w:p>
            <w:pPr>
              <w:spacing w:line="240" w:lineRule="auto" w:after="40"/>
            </w:pPr>
            <w:r>
              <w:rPr>
                <w:sz w:val="20"/>
              </w:rPr>
            </w:r>
            <w:r>
              <w:rPr>
                <w:sz w:val="20"/>
              </w:rPr>
              <w:t>Pin-fin</w:t>
            </w:r>
          </w:p>
        </w:tc>
        <w:tc>
          <w:tcPr>
            <w:tcW w:type="dxa" w:w="1440"/>
          </w:tcPr>
          <w:p>
            <w:pPr>
              <w:spacing w:line="240" w:lineRule="auto" w:after="40"/>
            </w:pPr>
            <w:r>
              <w:rPr>
                <w:sz w:val="20"/>
              </w:rPr>
            </w:r>
            <w:r>
              <w:rPr>
                <w:sz w:val="20"/>
              </w:rPr>
              <w:t>Roughness factor</w:t>
            </w:r>
          </w:p>
        </w:tc>
        <w:tc>
          <w:tcPr>
            <w:tcW w:type="dxa" w:w="1440"/>
          </w:tcPr>
          <w:p>
            <w:pPr>
              <w:spacing w:line="240" w:lineRule="auto" w:after="40"/>
            </w:pPr>
            <w:r>
              <w:rPr>
                <w:sz w:val="20"/>
              </w:rPr>
            </w:r>
            <w:r>
              <w:rPr>
                <w:sz w:val="20"/>
              </w:rPr>
              <w:t>+0.156</w:t>
            </w:r>
          </w:p>
        </w:tc>
        <w:tc>
          <w:tcPr>
            <w:tcW w:type="dxa" w:w="1440"/>
          </w:tcPr>
          <w:p>
            <w:pPr>
              <w:spacing w:line="240" w:lineRule="auto" w:after="40"/>
            </w:pPr>
            <w:r>
              <w:rPr>
                <w:sz w:val="20"/>
              </w:rPr>
            </w:r>
            <w:r>
              <w:rPr>
                <w:sz w:val="20"/>
              </w:rPr>
              <w:t>+0.466</w:t>
            </w:r>
          </w:p>
        </w:tc>
        <w:tc>
          <w:tcPr>
            <w:tcW w:type="dxa" w:w="1440"/>
          </w:tcPr>
          <w:p>
            <w:pPr>
              <w:spacing w:line="240" w:lineRule="auto" w:after="40"/>
            </w:pPr>
            <w:r>
              <w:rPr>
                <w:sz w:val="20"/>
              </w:rPr>
            </w:r>
            <w:r>
              <w:rPr>
                <w:sz w:val="20"/>
              </w:rPr>
              <w:t>3x understated</w:t>
            </w:r>
          </w:p>
        </w:tc>
        <w:tc>
          <w:tcPr>
            <w:tcW w:type="dxa" w:w="1440"/>
          </w:tcPr>
          <w:p>
            <w:pPr>
              <w:spacing w:line="240" w:lineRule="auto" w:after="40"/>
            </w:pPr>
            <w:r>
              <w:rPr>
                <w:sz w:val="20"/>
              </w:rPr>
            </w:r>
            <w:r>
              <w:rPr>
                <w:sz w:val="20"/>
              </w:rPr>
              <w:t>13 of 13</w:t>
            </w:r>
          </w:p>
        </w:tc>
      </w:tr>
      <w:tr>
        <w:tc>
          <w:tcPr>
            <w:tcW w:type="dxa" w:w="1440"/>
          </w:tcPr>
          <w:p>
            <w:pPr>
              <w:spacing w:line="240" w:lineRule="auto" w:after="40"/>
            </w:pPr>
            <w:r>
              <w:rPr>
                <w:sz w:val="20"/>
              </w:rPr>
            </w:r>
            <w:r>
              <w:rPr>
                <w:sz w:val="20"/>
              </w:rPr>
              <w:t>NRC</w:t>
            </w:r>
          </w:p>
        </w:tc>
        <w:tc>
          <w:tcPr>
            <w:tcW w:type="dxa" w:w="1440"/>
          </w:tcPr>
          <w:p>
            <w:pPr>
              <w:spacing w:line="240" w:lineRule="auto" w:after="40"/>
            </w:pPr>
            <w:r>
              <w:rPr>
                <w:sz w:val="20"/>
              </w:rPr>
            </w:r>
            <w:r>
              <w:rPr>
                <w:sz w:val="20"/>
              </w:rPr>
              <w:t>all seven features</w:t>
            </w:r>
          </w:p>
        </w:tc>
        <w:tc>
          <w:tcPr>
            <w:tcW w:type="dxa" w:w="1440"/>
          </w:tcPr>
          <w:p>
            <w:pPr>
              <w:spacing w:line="240" w:lineRule="auto" w:after="40"/>
            </w:pPr>
            <w:r>
              <w:rPr>
                <w:sz w:val="20"/>
              </w:rPr>
            </w:r>
            <w:r>
              <w:rPr>
                <w:sz w:val="20"/>
              </w:rPr>
              <w:t>—</w:t>
            </w:r>
          </w:p>
        </w:tc>
        <w:tc>
          <w:tcPr>
            <w:tcW w:type="dxa" w:w="1440"/>
          </w:tcPr>
          <w:p>
            <w:pPr>
              <w:spacing w:line="240" w:lineRule="auto" w:after="40"/>
            </w:pPr>
            <w:r>
              <w:rPr>
                <w:sz w:val="20"/>
              </w:rPr>
            </w:r>
            <w:r>
              <w:rPr>
                <w:sz w:val="20"/>
              </w:rPr>
              <w:t>—</w:t>
            </w:r>
          </w:p>
        </w:tc>
        <w:tc>
          <w:tcPr>
            <w:tcW w:type="dxa" w:w="1440"/>
          </w:tcPr>
          <w:p>
            <w:pPr>
              <w:spacing w:line="240" w:lineRule="auto" w:after="40"/>
            </w:pPr>
            <w:r>
              <w:rPr>
                <w:sz w:val="20"/>
              </w:rPr>
            </w:r>
            <w:r>
              <w:rPr>
                <w:sz w:val="20"/>
              </w:rPr>
              <w:t>no reversals</w:t>
            </w:r>
          </w:p>
        </w:tc>
        <w:tc>
          <w:tcPr>
            <w:tcW w:type="dxa" w:w="1440"/>
          </w:tcPr>
          <w:p>
            <w:pPr>
              <w:spacing w:line="240" w:lineRule="auto" w:after="40"/>
            </w:pPr>
            <w:r>
              <w:rPr>
                <w:sz w:val="20"/>
              </w:rPr>
            </w:r>
            <w:r>
              <w:rPr>
                <w:sz w:val="20"/>
              </w:rPr>
              <w:t>—</w:t>
            </w:r>
          </w:p>
        </w:tc>
      </w:tr>
    </w:tbl>
    <w:p/>
    <w:p>
      <w:pPr>
        <w:jc w:val="both"/>
      </w:pPr>
      <w:r>
        <w:t>The pooled roughness result contradicts the capillary-wicking mechanism invoked by every one of the source papers. Within each individual study the physically expected positive relationship is recovered.</w:t>
      </w:r>
    </w:p>
    <w:p>
      <w:pPr>
        <w:pStyle w:val="Heading3"/>
      </w:pPr>
      <w:r>
        <w:rPr>
          <w:rFonts w:ascii="Times New Roman" w:hAnsi="Times New Roman"/>
          <w:color w:val="000000"/>
        </w:rPr>
        <w:t>8.3 Generalisation to an unseen laboratory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after="40"/>
            </w:pPr>
            <w:r>
              <w:rPr>
                <w:b/>
                <w:sz w:val="20"/>
              </w:rPr>
            </w:r>
            <w:r>
              <w:rPr>
                <w:b/>
                <w:sz w:val="20"/>
              </w:rPr>
              <w:t>Dataset</w:t>
            </w:r>
          </w:p>
        </w:tc>
        <w:tc>
          <w:tcPr>
            <w:tcW w:type="dxa" w:w="2160"/>
          </w:tcPr>
          <w:p>
            <w:pPr>
              <w:spacing w:line="240" w:lineRule="auto" w:after="40"/>
            </w:pPr>
            <w:r>
              <w:rPr>
                <w:b/>
                <w:sz w:val="20"/>
              </w:rPr>
            </w:r>
            <w:r>
              <w:rPr>
                <w:b/>
                <w:sz w:val="20"/>
              </w:rPr>
              <w:t>Random split R2</w:t>
            </w:r>
          </w:p>
        </w:tc>
        <w:tc>
          <w:tcPr>
            <w:tcW w:type="dxa" w:w="2160"/>
          </w:tcPr>
          <w:p>
            <w:pPr>
              <w:spacing w:line="240" w:lineRule="auto" w:after="40"/>
            </w:pPr>
            <w:r>
              <w:rPr>
                <w:b/>
                <w:sz w:val="20"/>
              </w:rPr>
            </w:r>
            <w:r>
              <w:rPr>
                <w:b/>
                <w:sz w:val="20"/>
              </w:rPr>
              <w:t>Leave-one-publication-out R2</w:t>
            </w:r>
          </w:p>
        </w:tc>
        <w:tc>
          <w:tcPr>
            <w:tcW w:type="dxa" w:w="2160"/>
          </w:tcPr>
          <w:p>
            <w:pPr>
              <w:spacing w:line="240" w:lineRule="auto" w:after="40"/>
            </w:pPr>
            <w:r>
              <w:rPr>
                <w:b/>
                <w:sz w:val="20"/>
              </w:rPr>
            </w:r>
            <w:r>
              <w:rPr>
                <w:b/>
                <w:sz w:val="20"/>
              </w:rPr>
              <w:t>Optimism gap</w:t>
            </w:r>
          </w:p>
        </w:tc>
      </w:tr>
      <w:tr>
        <w:tc>
          <w:tcPr>
            <w:tcW w:type="dxa" w:w="2160"/>
          </w:tcPr>
          <w:p>
            <w:pPr>
              <w:spacing w:line="240" w:lineRule="auto" w:after="40"/>
            </w:pPr>
            <w:r>
              <w:rPr>
                <w:sz w:val="20"/>
              </w:rPr>
            </w:r>
            <w:r>
              <w:rPr>
                <w:sz w:val="20"/>
              </w:rPr>
              <w:t>ATF surface</w:t>
            </w:r>
          </w:p>
        </w:tc>
        <w:tc>
          <w:tcPr>
            <w:tcW w:type="dxa" w:w="2160"/>
          </w:tcPr>
          <w:p>
            <w:pPr>
              <w:spacing w:line="240" w:lineRule="auto" w:after="40"/>
            </w:pPr>
            <w:r>
              <w:rPr>
                <w:sz w:val="20"/>
              </w:rPr>
            </w:r>
            <w:r>
              <w:rPr>
                <w:sz w:val="20"/>
              </w:rPr>
              <w:t>0.776</w:t>
            </w:r>
          </w:p>
        </w:tc>
        <w:tc>
          <w:tcPr>
            <w:tcW w:type="dxa" w:w="2160"/>
          </w:tcPr>
          <w:p>
            <w:pPr>
              <w:spacing w:line="240" w:lineRule="auto" w:after="40"/>
            </w:pPr>
            <w:r>
              <w:rPr>
                <w:sz w:val="20"/>
              </w:rPr>
            </w:r>
            <w:r>
              <w:rPr>
                <w:sz w:val="20"/>
              </w:rPr>
              <w:t>-0.043</w:t>
            </w:r>
          </w:p>
        </w:tc>
        <w:tc>
          <w:tcPr>
            <w:tcW w:type="dxa" w:w="2160"/>
          </w:tcPr>
          <w:p>
            <w:pPr>
              <w:spacing w:line="240" w:lineRule="auto" w:after="40"/>
            </w:pPr>
            <w:r>
              <w:rPr>
                <w:sz w:val="20"/>
              </w:rPr>
            </w:r>
            <w:r>
              <w:rPr>
                <w:sz w:val="20"/>
              </w:rPr>
              <w:t>0.802</w:t>
            </w:r>
          </w:p>
        </w:tc>
      </w:tr>
      <w:tr>
        <w:tc>
          <w:tcPr>
            <w:tcW w:type="dxa" w:w="2160"/>
          </w:tcPr>
          <w:p>
            <w:pPr>
              <w:spacing w:line="240" w:lineRule="auto" w:after="40"/>
            </w:pPr>
            <w:r>
              <w:rPr>
                <w:sz w:val="20"/>
              </w:rPr>
            </w:r>
            <w:r>
              <w:rPr>
                <w:sz w:val="20"/>
              </w:rPr>
              <w:t>KAERI</w:t>
            </w:r>
          </w:p>
        </w:tc>
        <w:tc>
          <w:tcPr>
            <w:tcW w:type="dxa" w:w="2160"/>
          </w:tcPr>
          <w:p>
            <w:pPr>
              <w:spacing w:line="240" w:lineRule="auto" w:after="40"/>
            </w:pPr>
            <w:r>
              <w:rPr>
                <w:sz w:val="20"/>
              </w:rPr>
            </w:r>
            <w:r>
              <w:rPr>
                <w:sz w:val="20"/>
              </w:rPr>
              <w:t>0.990</w:t>
            </w:r>
          </w:p>
        </w:tc>
        <w:tc>
          <w:tcPr>
            <w:tcW w:type="dxa" w:w="2160"/>
          </w:tcPr>
          <w:p>
            <w:pPr>
              <w:spacing w:line="240" w:lineRule="auto" w:after="40"/>
            </w:pPr>
            <w:r>
              <w:rPr>
                <w:sz w:val="20"/>
              </w:rPr>
            </w:r>
            <w:r>
              <w:rPr>
                <w:sz w:val="20"/>
              </w:rPr>
              <w:t>0.605</w:t>
            </w:r>
          </w:p>
        </w:tc>
        <w:tc>
          <w:tcPr>
            <w:tcW w:type="dxa" w:w="2160"/>
          </w:tcPr>
          <w:p>
            <w:pPr>
              <w:spacing w:line="240" w:lineRule="auto" w:after="40"/>
            </w:pPr>
            <w:r>
              <w:rPr>
                <w:sz w:val="20"/>
              </w:rPr>
            </w:r>
            <w:r>
              <w:rPr>
                <w:sz w:val="20"/>
              </w:rPr>
              <w:t>0.385</w:t>
            </w:r>
          </w:p>
        </w:tc>
      </w:tr>
      <w:tr>
        <w:tc>
          <w:tcPr>
            <w:tcW w:type="dxa" w:w="2160"/>
          </w:tcPr>
          <w:p>
            <w:pPr>
              <w:spacing w:line="240" w:lineRule="auto" w:after="40"/>
            </w:pPr>
            <w:r>
              <w:rPr>
                <w:sz w:val="20"/>
              </w:rPr>
            </w:r>
            <w:r>
              <w:rPr>
                <w:sz w:val="20"/>
              </w:rPr>
              <w:t>Zhao</w:t>
            </w:r>
          </w:p>
        </w:tc>
        <w:tc>
          <w:tcPr>
            <w:tcW w:type="dxa" w:w="2160"/>
          </w:tcPr>
          <w:p>
            <w:pPr>
              <w:spacing w:line="240" w:lineRule="auto" w:after="40"/>
            </w:pPr>
            <w:r>
              <w:rPr>
                <w:sz w:val="20"/>
              </w:rPr>
            </w:r>
            <w:r>
              <w:rPr>
                <w:sz w:val="20"/>
              </w:rPr>
              <w:t>0.945</w:t>
            </w:r>
          </w:p>
        </w:tc>
        <w:tc>
          <w:tcPr>
            <w:tcW w:type="dxa" w:w="2160"/>
          </w:tcPr>
          <w:p>
            <w:pPr>
              <w:spacing w:line="240" w:lineRule="auto" w:after="40"/>
            </w:pPr>
            <w:r>
              <w:rPr>
                <w:sz w:val="20"/>
              </w:rPr>
            </w:r>
            <w:r>
              <w:rPr>
                <w:sz w:val="20"/>
              </w:rPr>
              <w:t>0.599</w:t>
            </w:r>
          </w:p>
        </w:tc>
        <w:tc>
          <w:tcPr>
            <w:tcW w:type="dxa" w:w="2160"/>
          </w:tcPr>
          <w:p>
            <w:pPr>
              <w:spacing w:line="240" w:lineRule="auto" w:after="40"/>
            </w:pPr>
            <w:r>
              <w:rPr>
                <w:sz w:val="20"/>
              </w:rPr>
            </w:r>
            <w:r>
              <w:rPr>
                <w:sz w:val="20"/>
              </w:rPr>
              <w:t>0.346</w:t>
            </w:r>
          </w:p>
        </w:tc>
      </w:tr>
      <w:tr>
        <w:tc>
          <w:tcPr>
            <w:tcW w:type="dxa" w:w="2160"/>
          </w:tcPr>
          <w:p>
            <w:pPr>
              <w:spacing w:line="240" w:lineRule="auto" w:after="40"/>
            </w:pPr>
            <w:r>
              <w:rPr>
                <w:sz w:val="20"/>
              </w:rPr>
            </w:r>
            <w:r>
              <w:rPr>
                <w:sz w:val="20"/>
              </w:rPr>
              <w:t>Pin-fin</w:t>
            </w:r>
          </w:p>
        </w:tc>
        <w:tc>
          <w:tcPr>
            <w:tcW w:type="dxa" w:w="2160"/>
          </w:tcPr>
          <w:p>
            <w:pPr>
              <w:spacing w:line="240" w:lineRule="auto" w:after="40"/>
            </w:pPr>
            <w:r>
              <w:rPr>
                <w:sz w:val="20"/>
              </w:rPr>
            </w:r>
            <w:r>
              <w:rPr>
                <w:sz w:val="20"/>
              </w:rPr>
              <w:t>0.975</w:t>
            </w:r>
          </w:p>
        </w:tc>
        <w:tc>
          <w:tcPr>
            <w:tcW w:type="dxa" w:w="2160"/>
          </w:tcPr>
          <w:p>
            <w:pPr>
              <w:spacing w:line="240" w:lineRule="auto" w:after="40"/>
            </w:pPr>
            <w:r>
              <w:rPr>
                <w:sz w:val="20"/>
              </w:rPr>
            </w:r>
            <w:r>
              <w:rPr>
                <w:sz w:val="20"/>
              </w:rPr>
              <w:t>0.945</w:t>
            </w:r>
          </w:p>
        </w:tc>
        <w:tc>
          <w:tcPr>
            <w:tcW w:type="dxa" w:w="2160"/>
          </w:tcPr>
          <w:p>
            <w:pPr>
              <w:spacing w:line="240" w:lineRule="auto" w:after="40"/>
            </w:pPr>
            <w:r>
              <w:rPr>
                <w:sz w:val="20"/>
              </w:rPr>
            </w:r>
            <w:r>
              <w:rPr>
                <w:sz w:val="20"/>
              </w:rPr>
              <w:t>0.030</w:t>
            </w:r>
          </w:p>
        </w:tc>
      </w:tr>
      <w:tr>
        <w:tc>
          <w:tcPr>
            <w:tcW w:type="dxa" w:w="2160"/>
          </w:tcPr>
          <w:p>
            <w:pPr>
              <w:spacing w:line="240" w:lineRule="auto" w:after="40"/>
            </w:pPr>
            <w:r>
              <w:rPr>
                <w:sz w:val="20"/>
              </w:rPr>
            </w:r>
            <w:r>
              <w:rPr>
                <w:sz w:val="20"/>
              </w:rPr>
              <w:t>NRC</w:t>
            </w:r>
          </w:p>
        </w:tc>
        <w:tc>
          <w:tcPr>
            <w:tcW w:type="dxa" w:w="2160"/>
          </w:tcPr>
          <w:p>
            <w:pPr>
              <w:spacing w:line="240" w:lineRule="auto" w:after="40"/>
            </w:pPr>
            <w:r>
              <w:rPr>
                <w:sz w:val="20"/>
              </w:rPr>
            </w:r>
            <w:r>
              <w:rPr>
                <w:sz w:val="20"/>
              </w:rPr>
              <w:t>0.995</w:t>
            </w:r>
          </w:p>
        </w:tc>
        <w:tc>
          <w:tcPr>
            <w:tcW w:type="dxa" w:w="2160"/>
          </w:tcPr>
          <w:p>
            <w:pPr>
              <w:spacing w:line="240" w:lineRule="auto" w:after="40"/>
            </w:pPr>
            <w:r>
              <w:rPr>
                <w:sz w:val="20"/>
              </w:rPr>
            </w:r>
            <w:r>
              <w:rPr>
                <w:sz w:val="20"/>
              </w:rPr>
              <w:t>0.963</w:t>
            </w:r>
          </w:p>
        </w:tc>
        <w:tc>
          <w:tcPr>
            <w:tcW w:type="dxa" w:w="2160"/>
          </w:tcPr>
          <w:p>
            <w:pPr>
              <w:spacing w:line="240" w:lineRule="auto" w:after="40"/>
            </w:pPr>
            <w:r>
              <w:rPr>
                <w:sz w:val="20"/>
              </w:rPr>
            </w:r>
            <w:r>
              <w:rPr>
                <w:sz w:val="20"/>
              </w:rPr>
              <w:t>0.032</w:t>
            </w:r>
          </w:p>
        </w:tc>
      </w:tr>
    </w:tbl>
    <w:p/>
    <w:p>
      <w:pPr>
        <w:jc w:val="both"/>
      </w:pPr>
      <w:r>
        <w:t>On the engineered-surface data, no held-out laboratory is predicted better than the global mean. Under a random split the same data appears to achieve R2 of approximately 0.78.</w:t>
      </w:r>
    </w:p>
    <w:p>
      <w:pPr>
        <w:pStyle w:val="Heading3"/>
      </w:pPr>
      <w:r>
        <w:rPr>
          <w:rFonts w:ascii="Times New Roman" w:hAnsi="Times New Roman"/>
          <w:color w:val="000000"/>
        </w:rPr>
        <w:t>8.4 Mechanism and robustness</w:t>
      </w:r>
    </w:p>
    <w:p>
      <w:pPr>
        <w:pStyle w:val="ListBullet"/>
        <w:spacing w:line="360" w:lineRule="auto"/>
      </w:pPr>
      <w:r>
        <w:t xml:space="preserve">A classifier recovers the </w:t>
      </w:r>
      <w:r>
        <w:rPr>
          <w:b/>
        </w:rPr>
        <w:t>source publication from the input features alone at 83.1% accuracy</w:t>
      </w:r>
      <w:r>
        <w:t>, against a 41.5% majority baseline. The features encode laboratory identity directly.</w:t>
      </w:r>
    </w:p>
    <w:p>
      <w:pPr>
        <w:pStyle w:val="ListBullet"/>
        <w:spacing w:line="360" w:lineRule="auto"/>
      </w:pPr>
      <w:r>
        <w:t>The result survives independent reimplementation from scratch (-0.0735 against -0.073), true leave-one-group-out (-0.041), merging same-laboratory publications (-0.045), and stripping to only the two raw measured features (0.645 to -0.065).</w:t>
      </w:r>
    </w:p>
    <w:p>
      <w:pPr>
        <w:pStyle w:val="ListBullet"/>
        <w:spacing w:line="360" w:lineRule="auto"/>
      </w:pPr>
      <w:r>
        <w:t xml:space="preserve">Proper mixed-effects estimation reverses the roughness coefficient from -0.009 (p = 0.22, not significant) to </w:t>
      </w:r>
      <w:r>
        <w:rPr>
          <w:b/>
        </w:rPr>
        <w:t>+0.017 (p = 0.001, significant)</w:t>
      </w:r>
      <w:r>
        <w:t>, while the contact-angle coefficient shrinks by 68%.</w:t>
      </w:r>
    </w:p>
    <w:p>
      <w:pPr>
        <w:pStyle w:val="ListBullet"/>
        <w:spacing w:line="360" w:lineRule="auto"/>
      </w:pPr>
      <w:r>
        <w:rPr>
          <w:b/>
        </w:rPr>
        <w:t>Feature-importance rankings do not change</w:t>
      </w:r>
      <w:r>
        <w:t xml:space="preserve"> between protocols. A model can present stable, physically plausible attributions while failing entirely to generalise, so importance plots offer no warning of this failure.</w:t>
      </w:r>
    </w:p>
    <w:p>
      <w:pPr>
        <w:pStyle w:val="Heading3"/>
      </w:pPr>
      <w:r>
        <w:rPr>
          <w:rFonts w:ascii="Times New Roman" w:hAnsi="Times New Roman"/>
          <w:color w:val="000000"/>
        </w:rPr>
        <w:t>8.5 Stated limitations</w:t>
      </w:r>
    </w:p>
    <w:p>
      <w:pPr>
        <w:jc w:val="both"/>
      </w:pPr>
      <w:r>
        <w:t>The roughness reversal is sensitive to the high-roughness sandblasted samples: excluding Ra above 5 microns removes it. Cluster-bootstrap confidence intervals over ten publications are wide, and the contact-angle correlation is not statistically distinguishable from zero in either pooled or within-study form. The grouping variable identifies publications rather than laboratories; two pairs in the corpus share an author group, and two publications report identical CHF values, indicating a shared experimental campaign.</w:t>
      </w:r>
    </w:p>
    <w:p>
      <w:pPr>
        <w:jc w:val="center"/>
      </w:pPr>
      <w:r>
        <w:rPr>
          <w:sz w:val="20"/>
        </w:rPr>
        <w:t>• • •</w:t>
      </w:r>
    </w:p>
    <w:p>
      <w:pPr>
        <w:pStyle w:val="Heading2"/>
      </w:pPr>
      <w:r>
        <w:rPr>
          <w:rFonts w:ascii="Times New Roman" w:hAnsi="Times New Roman"/>
          <w:color w:val="000000"/>
        </w:rPr>
        <w:t>9. Phase VIII — Physics foundation</w:t>
      </w:r>
    </w:p>
    <w:p>
      <w:pPr>
        <w:jc w:val="both"/>
      </w:pPr>
      <w:r>
        <w:t>A 1,382-line foundation document was written to establish provenance for every equation subsequently used. Its structure covers the phenomenon itself; dimensional analysis as the basis of generalisation; the five pool-boiling trigger mechanisms; the physics of surface characteristics; flow-boiling correlations; geometry-specific effects; a sourced review of what machine learning has and has not achieved; the physical constraints any admissible CHF model must satisfy; and a proposed physics-first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Correlation</w:t>
            </w:r>
          </w:p>
        </w:tc>
        <w:tc>
          <w:tcPr>
            <w:tcW w:type="dxa" w:w="2880"/>
          </w:tcPr>
          <w:p>
            <w:pPr>
              <w:spacing w:line="240" w:lineRule="auto" w:after="40"/>
            </w:pPr>
            <w:r>
              <w:rPr>
                <w:b/>
                <w:sz w:val="20"/>
              </w:rPr>
            </w:r>
            <w:r>
              <w:rPr>
                <w:b/>
                <w:sz w:val="20"/>
              </w:rPr>
              <w:t>Regime</w:t>
            </w:r>
          </w:p>
        </w:tc>
        <w:tc>
          <w:tcPr>
            <w:tcW w:type="dxa" w:w="2880"/>
          </w:tcPr>
          <w:p>
            <w:pPr>
              <w:spacing w:line="240" w:lineRule="auto" w:after="40"/>
            </w:pPr>
            <w:r>
              <w:rPr>
                <w:b/>
                <w:sz w:val="20"/>
              </w:rPr>
            </w:r>
            <w:r>
              <w:rPr>
                <w:b/>
                <w:sz w:val="20"/>
              </w:rPr>
              <w:t>Physical content</w:t>
            </w:r>
          </w:p>
        </w:tc>
      </w:tr>
      <w:tr>
        <w:tc>
          <w:tcPr>
            <w:tcW w:type="dxa" w:w="2880"/>
          </w:tcPr>
          <w:p>
            <w:pPr>
              <w:spacing w:line="240" w:lineRule="auto" w:after="40"/>
            </w:pPr>
            <w:r>
              <w:rPr>
                <w:sz w:val="20"/>
              </w:rPr>
            </w:r>
            <w:r>
              <w:rPr>
                <w:sz w:val="20"/>
              </w:rPr>
              <w:t>Zuber (1959)</w:t>
            </w:r>
          </w:p>
        </w:tc>
        <w:tc>
          <w:tcPr>
            <w:tcW w:type="dxa" w:w="2880"/>
          </w:tcPr>
          <w:p>
            <w:pPr>
              <w:spacing w:line="240" w:lineRule="auto" w:after="40"/>
            </w:pPr>
            <w:r>
              <w:rPr>
                <w:sz w:val="20"/>
              </w:rPr>
            </w:r>
            <w:r>
              <w:rPr>
                <w:sz w:val="20"/>
              </w:rPr>
              <w:t>Pool boiling</w:t>
            </w:r>
          </w:p>
        </w:tc>
        <w:tc>
          <w:tcPr>
            <w:tcW w:type="dxa" w:w="2880"/>
          </w:tcPr>
          <w:p>
            <w:pPr>
              <w:spacing w:line="240" w:lineRule="auto" w:after="40"/>
            </w:pPr>
            <w:r>
              <w:rPr>
                <w:sz w:val="20"/>
              </w:rPr>
            </w:r>
            <w:r>
              <w:rPr>
                <w:sz w:val="20"/>
              </w:rPr>
              <w:t>Hydrodynamic instability of vapour columns. Contains no surface terms, which is precisely why it removes almost none of the laboratory effect (0.820 to 0.799)</w:t>
            </w:r>
          </w:p>
        </w:tc>
      </w:tr>
      <w:tr>
        <w:tc>
          <w:tcPr>
            <w:tcW w:type="dxa" w:w="2880"/>
          </w:tcPr>
          <w:p>
            <w:pPr>
              <w:spacing w:line="240" w:lineRule="auto" w:after="40"/>
            </w:pPr>
            <w:r>
              <w:rPr>
                <w:sz w:val="20"/>
              </w:rPr>
            </w:r>
            <w:r>
              <w:rPr>
                <w:sz w:val="20"/>
              </w:rPr>
              <w:t>Kutateladze</w:t>
            </w:r>
          </w:p>
        </w:tc>
        <w:tc>
          <w:tcPr>
            <w:tcW w:type="dxa" w:w="2880"/>
          </w:tcPr>
          <w:p>
            <w:pPr>
              <w:spacing w:line="240" w:lineRule="auto" w:after="40"/>
            </w:pPr>
            <w:r>
              <w:rPr>
                <w:sz w:val="20"/>
              </w:rPr>
            </w:r>
            <w:r>
              <w:rPr>
                <w:sz w:val="20"/>
              </w:rPr>
              <w:t>Pool boiling</w:t>
            </w:r>
          </w:p>
        </w:tc>
        <w:tc>
          <w:tcPr>
            <w:tcW w:type="dxa" w:w="2880"/>
          </w:tcPr>
          <w:p>
            <w:pPr>
              <w:spacing w:line="240" w:lineRule="auto" w:after="40"/>
            </w:pPr>
            <w:r>
              <w:rPr>
                <w:sz w:val="20"/>
              </w:rPr>
            </w:r>
            <w:r>
              <w:rPr>
                <w:sz w:val="20"/>
              </w:rPr>
              <w:t>Dimensionless form of the hydrodynamic limit; Zuber's 0.131 constant is its flat-plate value</w:t>
            </w:r>
          </w:p>
        </w:tc>
      </w:tr>
      <w:tr>
        <w:tc>
          <w:tcPr>
            <w:tcW w:type="dxa" w:w="2880"/>
          </w:tcPr>
          <w:p>
            <w:pPr>
              <w:spacing w:line="240" w:lineRule="auto" w:after="40"/>
            </w:pPr>
            <w:r>
              <w:rPr>
                <w:sz w:val="20"/>
              </w:rPr>
            </w:r>
            <w:r>
              <w:rPr>
                <w:sz w:val="20"/>
              </w:rPr>
              <w:t>Kandlikar (2001)</w:t>
            </w:r>
          </w:p>
        </w:tc>
        <w:tc>
          <w:tcPr>
            <w:tcW w:type="dxa" w:w="2880"/>
          </w:tcPr>
          <w:p>
            <w:pPr>
              <w:spacing w:line="240" w:lineRule="auto" w:after="40"/>
            </w:pPr>
            <w:r>
              <w:rPr>
                <w:sz w:val="20"/>
              </w:rPr>
            </w:r>
            <w:r>
              <w:rPr>
                <w:sz w:val="20"/>
              </w:rPr>
              <w:t>Pool boiling</w:t>
            </w:r>
          </w:p>
        </w:tc>
        <w:tc>
          <w:tcPr>
            <w:tcW w:type="dxa" w:w="2880"/>
          </w:tcPr>
          <w:p>
            <w:pPr>
              <w:spacing w:line="240" w:lineRule="auto" w:after="40"/>
            </w:pPr>
            <w:r>
              <w:rPr>
                <w:sz w:val="20"/>
              </w:rPr>
            </w:r>
            <w:r>
              <w:rPr>
                <w:sz w:val="20"/>
              </w:rPr>
              <w:t>Force balance including contact angle and orientation. Reduces the laboratory-variance share from 0.820 to 0.474</w:t>
            </w:r>
          </w:p>
        </w:tc>
      </w:tr>
      <w:tr>
        <w:tc>
          <w:tcPr>
            <w:tcW w:type="dxa" w:w="2880"/>
          </w:tcPr>
          <w:p>
            <w:pPr>
              <w:spacing w:line="240" w:lineRule="auto" w:after="40"/>
            </w:pPr>
            <w:r>
              <w:rPr>
                <w:sz w:val="20"/>
              </w:rPr>
            </w:r>
            <w:r>
              <w:rPr>
                <w:sz w:val="20"/>
              </w:rPr>
              <w:t>Haramura-Katto (1983)</w:t>
            </w:r>
          </w:p>
        </w:tc>
        <w:tc>
          <w:tcPr>
            <w:tcW w:type="dxa" w:w="2880"/>
          </w:tcPr>
          <w:p>
            <w:pPr>
              <w:spacing w:line="240" w:lineRule="auto" w:after="40"/>
            </w:pPr>
            <w:r>
              <w:rPr>
                <w:sz w:val="20"/>
              </w:rPr>
            </w:r>
            <w:r>
              <w:rPr>
                <w:sz w:val="20"/>
              </w:rPr>
              <w:t>Pool boiling</w:t>
            </w:r>
          </w:p>
        </w:tc>
        <w:tc>
          <w:tcPr>
            <w:tcW w:type="dxa" w:w="2880"/>
          </w:tcPr>
          <w:p>
            <w:pPr>
              <w:spacing w:line="240" w:lineRule="auto" w:after="40"/>
            </w:pPr>
            <w:r>
              <w:rPr>
                <w:sz w:val="20"/>
              </w:rPr>
            </w:r>
            <w:r>
              <w:rPr>
                <w:sz w:val="20"/>
              </w:rPr>
              <w:t>Macrolayer dryout beneath a coalesced bubble</w:t>
            </w:r>
          </w:p>
        </w:tc>
      </w:tr>
      <w:tr>
        <w:tc>
          <w:tcPr>
            <w:tcW w:type="dxa" w:w="2880"/>
          </w:tcPr>
          <w:p>
            <w:pPr>
              <w:spacing w:line="240" w:lineRule="auto" w:after="40"/>
            </w:pPr>
            <w:r>
              <w:rPr>
                <w:sz w:val="20"/>
              </w:rPr>
            </w:r>
            <w:r>
              <w:rPr>
                <w:sz w:val="20"/>
              </w:rPr>
              <w:t>Katto-Ohno (1984)</w:t>
            </w:r>
          </w:p>
        </w:tc>
        <w:tc>
          <w:tcPr>
            <w:tcW w:type="dxa" w:w="2880"/>
          </w:tcPr>
          <w:p>
            <w:pPr>
              <w:spacing w:line="240" w:lineRule="auto" w:after="40"/>
            </w:pPr>
            <w:r>
              <w:rPr>
                <w:sz w:val="20"/>
              </w:rPr>
            </w:r>
            <w:r>
              <w:rPr>
                <w:sz w:val="20"/>
              </w:rPr>
              <w:t>Flow boiling</w:t>
            </w:r>
          </w:p>
        </w:tc>
        <w:tc>
          <w:tcPr>
            <w:tcW w:type="dxa" w:w="2880"/>
          </w:tcPr>
          <w:p>
            <w:pPr>
              <w:spacing w:line="240" w:lineRule="auto" w:after="40"/>
            </w:pPr>
            <w:r>
              <w:rPr>
                <w:sz w:val="20"/>
              </w:rPr>
            </w:r>
            <w:r>
              <w:rPr>
                <w:sz w:val="20"/>
              </w:rPr>
              <w:t>Generalised correlation using the Weber number on heated length, density ratio and L/D. The principal transferability mechanism</w:t>
            </w:r>
          </w:p>
        </w:tc>
      </w:tr>
      <w:tr>
        <w:tc>
          <w:tcPr>
            <w:tcW w:type="dxa" w:w="2880"/>
          </w:tcPr>
          <w:p>
            <w:pPr>
              <w:spacing w:line="240" w:lineRule="auto" w:after="40"/>
            </w:pPr>
            <w:r>
              <w:rPr>
                <w:sz w:val="20"/>
              </w:rPr>
            </w:r>
            <w:r>
              <w:rPr>
                <w:sz w:val="20"/>
              </w:rPr>
              <w:t>Hall-Mudawar</w:t>
            </w:r>
          </w:p>
        </w:tc>
        <w:tc>
          <w:tcPr>
            <w:tcW w:type="dxa" w:w="2880"/>
          </w:tcPr>
          <w:p>
            <w:pPr>
              <w:spacing w:line="240" w:lineRule="auto" w:after="40"/>
            </w:pPr>
            <w:r>
              <w:rPr>
                <w:sz w:val="20"/>
              </w:rPr>
            </w:r>
            <w:r>
              <w:rPr>
                <w:sz w:val="20"/>
              </w:rPr>
              <w:t>Flow boiling</w:t>
            </w:r>
          </w:p>
        </w:tc>
        <w:tc>
          <w:tcPr>
            <w:tcW w:type="dxa" w:w="2880"/>
          </w:tcPr>
          <w:p>
            <w:pPr>
              <w:spacing w:line="240" w:lineRule="auto" w:after="40"/>
            </w:pPr>
            <w:r>
              <w:rPr>
                <w:sz w:val="20"/>
              </w:rPr>
            </w:r>
            <w:r>
              <w:rPr>
                <w:sz w:val="20"/>
              </w:rPr>
              <w:t>Alternative flow-boiling baseline for regime dispatch</w:t>
            </w:r>
          </w:p>
        </w:tc>
      </w:tr>
      <w:tr>
        <w:tc>
          <w:tcPr>
            <w:tcW w:type="dxa" w:w="2880"/>
          </w:tcPr>
          <w:p>
            <w:pPr>
              <w:spacing w:line="240" w:lineRule="auto" w:after="40"/>
            </w:pPr>
            <w:r>
              <w:rPr>
                <w:sz w:val="20"/>
              </w:rPr>
            </w:r>
            <w:r>
              <w:rPr>
                <w:sz w:val="20"/>
              </w:rPr>
              <w:t>Biasi (1967)</w:t>
            </w:r>
          </w:p>
        </w:tc>
        <w:tc>
          <w:tcPr>
            <w:tcW w:type="dxa" w:w="2880"/>
          </w:tcPr>
          <w:p>
            <w:pPr>
              <w:spacing w:line="240" w:lineRule="auto" w:after="40"/>
            </w:pPr>
            <w:r>
              <w:rPr>
                <w:sz w:val="20"/>
              </w:rPr>
            </w:r>
            <w:r>
              <w:rPr>
                <w:sz w:val="20"/>
              </w:rPr>
              <w:t>Flow boiling, water</w:t>
            </w:r>
          </w:p>
        </w:tc>
        <w:tc>
          <w:tcPr>
            <w:tcW w:type="dxa" w:w="2880"/>
          </w:tcPr>
          <w:p>
            <w:pPr>
              <w:spacing w:line="240" w:lineRule="auto" w:after="40"/>
            </w:pPr>
            <w:r>
              <w:rPr>
                <w:sz w:val="20"/>
              </w:rPr>
            </w:r>
            <w:r>
              <w:rPr>
                <w:sz w:val="20"/>
              </w:rPr>
              <w:t>Two quality branches; water-specific</w:t>
            </w:r>
          </w:p>
        </w:tc>
      </w:tr>
      <w:tr>
        <w:tc>
          <w:tcPr>
            <w:tcW w:type="dxa" w:w="2880"/>
          </w:tcPr>
          <w:p>
            <w:pPr>
              <w:spacing w:line="240" w:lineRule="auto" w:after="40"/>
            </w:pPr>
            <w:r>
              <w:rPr>
                <w:sz w:val="20"/>
              </w:rPr>
            </w:r>
            <w:r>
              <w:rPr>
                <w:sz w:val="20"/>
              </w:rPr>
              <w:t>Tanase diameter correction, coil factor</w:t>
            </w:r>
          </w:p>
        </w:tc>
        <w:tc>
          <w:tcPr>
            <w:tcW w:type="dxa" w:w="2880"/>
          </w:tcPr>
          <w:p>
            <w:pPr>
              <w:spacing w:line="240" w:lineRule="auto" w:after="40"/>
            </w:pPr>
            <w:r>
              <w:rPr>
                <w:sz w:val="20"/>
              </w:rPr>
            </w:r>
            <w:r>
              <w:rPr>
                <w:sz w:val="20"/>
              </w:rPr>
              <w:t>Geometry</w:t>
            </w:r>
          </w:p>
        </w:tc>
        <w:tc>
          <w:tcPr>
            <w:tcW w:type="dxa" w:w="2880"/>
          </w:tcPr>
          <w:p>
            <w:pPr>
              <w:spacing w:line="240" w:lineRule="auto" w:after="40"/>
            </w:pPr>
            <w:r>
              <w:rPr>
                <w:sz w:val="20"/>
              </w:rPr>
            </w:r>
            <w:r>
              <w:rPr>
                <w:sz w:val="20"/>
              </w:rPr>
              <w:t>Diameter normalisation and helical-coil adjustment</w:t>
            </w:r>
          </w:p>
        </w:tc>
      </w:tr>
    </w:tbl>
    <w:p/>
    <w:p>
      <w:pPr>
        <w:jc w:val="both"/>
      </w:pPr>
      <w:r>
        <w:t>A constraint scorecard (C1 to C7, S1 to S10) probes each trained model on synthetic parameter sweeps it never saw during training, verifying that learned functions respect known physical behaviour.</w:t>
      </w:r>
    </w:p>
    <w:p>
      <w:pPr>
        <w:jc w:val="center"/>
      </w:pPr>
      <w:r>
        <w:rPr>
          <w:sz w:val="20"/>
        </w:rPr>
        <w:t>• • •</w:t>
      </w:r>
    </w:p>
    <w:p>
      <w:pPr>
        <w:pStyle w:val="Heading2"/>
      </w:pPr>
      <w:r>
        <w:rPr>
          <w:rFonts w:ascii="Times New Roman" w:hAnsi="Times New Roman"/>
          <w:color w:val="000000"/>
        </w:rPr>
        <w:t>10. Phase IX — Physics-guided models</w:t>
      </w:r>
    </w:p>
    <w:p>
      <w:pPr>
        <w:pStyle w:val="Heading3"/>
      </w:pPr>
      <w:r>
        <w:rPr>
          <w:rFonts w:ascii="Times New Roman" w:hAnsi="Times New Roman"/>
          <w:color w:val="000000"/>
        </w:rPr>
        <w:t>10.1 The ablation ladder</w:t>
      </w:r>
    </w:p>
    <w:p>
      <w:pPr>
        <w:jc w:val="both"/>
      </w:pPr>
      <w:r>
        <w:t>Six arms, each adding exactly one idea to the arm above, so that every contribution is isolated. Pure-physics arms carry no fitted parameters and form the reference every learned arm must beat.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40" w:lineRule="auto" w:after="40"/>
            </w:pPr>
            <w:r>
              <w:rPr>
                <w:b/>
                <w:sz w:val="20"/>
              </w:rPr>
            </w:r>
            <w:r>
              <w:rPr>
                <w:b/>
                <w:sz w:val="20"/>
              </w:rPr>
              <w:t>Arm</w:t>
            </w:r>
          </w:p>
        </w:tc>
        <w:tc>
          <w:tcPr>
            <w:tcW w:type="dxa" w:w="1728"/>
          </w:tcPr>
          <w:p>
            <w:pPr>
              <w:spacing w:line="240" w:lineRule="auto" w:after="40"/>
            </w:pPr>
            <w:r>
              <w:rPr>
                <w:b/>
                <w:sz w:val="20"/>
              </w:rPr>
            </w:r>
            <w:r>
              <w:rPr>
                <w:b/>
                <w:sz w:val="20"/>
              </w:rPr>
              <w:t>S1 random</w:t>
            </w:r>
          </w:p>
        </w:tc>
        <w:tc>
          <w:tcPr>
            <w:tcW w:type="dxa" w:w="1728"/>
          </w:tcPr>
          <w:p>
            <w:pPr>
              <w:spacing w:line="240" w:lineRule="auto" w:after="40"/>
            </w:pPr>
            <w:r>
              <w:rPr>
                <w:b/>
                <w:sz w:val="20"/>
              </w:rPr>
            </w:r>
            <w:r>
              <w:rPr>
                <w:b/>
                <w:sz w:val="20"/>
              </w:rPr>
              <w:t>S2 condition</w:t>
            </w:r>
          </w:p>
        </w:tc>
        <w:tc>
          <w:tcPr>
            <w:tcW w:type="dxa" w:w="1728"/>
          </w:tcPr>
          <w:p>
            <w:pPr>
              <w:spacing w:line="240" w:lineRule="auto" w:after="40"/>
            </w:pPr>
            <w:r>
              <w:rPr>
                <w:b/>
                <w:sz w:val="20"/>
              </w:rPr>
            </w:r>
            <w:r>
              <w:rPr>
                <w:b/>
                <w:sz w:val="20"/>
              </w:rPr>
              <w:t>S3 surface</w:t>
            </w:r>
          </w:p>
        </w:tc>
        <w:tc>
          <w:tcPr>
            <w:tcW w:type="dxa" w:w="1728"/>
          </w:tcPr>
          <w:p>
            <w:pPr>
              <w:spacing w:line="240" w:lineRule="auto" w:after="40"/>
            </w:pPr>
            <w:r>
              <w:rPr>
                <w:b/>
                <w:sz w:val="20"/>
              </w:rPr>
            </w:r>
            <w:r>
              <w:rPr>
                <w:b/>
                <w:sz w:val="20"/>
              </w:rPr>
              <w:t>S4 source</w:t>
            </w:r>
          </w:p>
        </w:tc>
      </w:tr>
      <w:tr>
        <w:tc>
          <w:tcPr>
            <w:tcW w:type="dxa" w:w="1728"/>
          </w:tcPr>
          <w:p>
            <w:pPr>
              <w:spacing w:line="240" w:lineRule="auto" w:after="40"/>
            </w:pPr>
            <w:r>
              <w:rPr>
                <w:sz w:val="20"/>
              </w:rPr>
            </w:r>
            <w:r>
              <w:rPr>
                <w:sz w:val="20"/>
              </w:rPr>
              <w:t>Physics only (Katto-Ohno), no learning</w:t>
            </w:r>
          </w:p>
        </w:tc>
        <w:tc>
          <w:tcPr>
            <w:tcW w:type="dxa" w:w="1728"/>
          </w:tcPr>
          <w:p>
            <w:pPr>
              <w:spacing w:line="240" w:lineRule="auto" w:after="40"/>
            </w:pPr>
            <w:r>
              <w:rPr>
                <w:sz w:val="20"/>
              </w:rPr>
            </w:r>
            <w:r>
              <w:rPr>
                <w:sz w:val="20"/>
              </w:rPr>
              <w:t>0.779</w:t>
            </w:r>
          </w:p>
        </w:tc>
        <w:tc>
          <w:tcPr>
            <w:tcW w:type="dxa" w:w="1728"/>
          </w:tcPr>
          <w:p>
            <w:pPr>
              <w:spacing w:line="240" w:lineRule="auto" w:after="40"/>
            </w:pPr>
            <w:r>
              <w:rPr>
                <w:sz w:val="20"/>
              </w:rPr>
            </w:r>
            <w:r>
              <w:rPr>
                <w:sz w:val="20"/>
              </w:rPr>
              <w:t>0.508</w:t>
            </w:r>
          </w:p>
        </w:tc>
        <w:tc>
          <w:tcPr>
            <w:tcW w:type="dxa" w:w="1728"/>
          </w:tcPr>
          <w:p>
            <w:pPr>
              <w:spacing w:line="240" w:lineRule="auto" w:after="40"/>
            </w:pPr>
            <w:r>
              <w:rPr>
                <w:sz w:val="20"/>
              </w:rPr>
            </w:r>
            <w:r>
              <w:rPr>
                <w:sz w:val="20"/>
              </w:rPr>
              <w:t>0.505</w:t>
            </w:r>
          </w:p>
        </w:tc>
        <w:tc>
          <w:tcPr>
            <w:tcW w:type="dxa" w:w="1728"/>
          </w:tcPr>
          <w:p>
            <w:pPr>
              <w:spacing w:line="240" w:lineRule="auto" w:after="40"/>
            </w:pPr>
            <w:r>
              <w:rPr>
                <w:sz w:val="20"/>
              </w:rPr>
            </w:r>
            <w:r>
              <w:rPr>
                <w:sz w:val="20"/>
              </w:rPr>
              <w:t>0.785</w:t>
            </w:r>
          </w:p>
        </w:tc>
      </w:tr>
      <w:tr>
        <w:tc>
          <w:tcPr>
            <w:tcW w:type="dxa" w:w="1728"/>
          </w:tcPr>
          <w:p>
            <w:pPr>
              <w:spacing w:line="240" w:lineRule="auto" w:after="40"/>
            </w:pPr>
            <w:r>
              <w:rPr>
                <w:sz w:val="20"/>
              </w:rPr>
            </w:r>
            <w:r>
              <w:rPr>
                <w:sz w:val="20"/>
              </w:rPr>
              <w:t>Physics only (gated), no learning</w:t>
            </w:r>
          </w:p>
        </w:tc>
        <w:tc>
          <w:tcPr>
            <w:tcW w:type="dxa" w:w="1728"/>
          </w:tcPr>
          <w:p>
            <w:pPr>
              <w:spacing w:line="240" w:lineRule="auto" w:after="40"/>
            </w:pPr>
            <w:r>
              <w:rPr>
                <w:sz w:val="20"/>
              </w:rPr>
            </w:r>
            <w:r>
              <w:rPr>
                <w:sz w:val="20"/>
              </w:rPr>
              <w:t>0.733</w:t>
            </w:r>
          </w:p>
        </w:tc>
        <w:tc>
          <w:tcPr>
            <w:tcW w:type="dxa" w:w="1728"/>
          </w:tcPr>
          <w:p>
            <w:pPr>
              <w:spacing w:line="240" w:lineRule="auto" w:after="40"/>
            </w:pPr>
            <w:r>
              <w:rPr>
                <w:sz w:val="20"/>
              </w:rPr>
            </w:r>
            <w:r>
              <w:rPr>
                <w:sz w:val="20"/>
              </w:rPr>
              <w:t>0.809</w:t>
            </w:r>
          </w:p>
        </w:tc>
        <w:tc>
          <w:tcPr>
            <w:tcW w:type="dxa" w:w="1728"/>
          </w:tcPr>
          <w:p>
            <w:pPr>
              <w:spacing w:line="240" w:lineRule="auto" w:after="40"/>
            </w:pPr>
            <w:r>
              <w:rPr>
                <w:sz w:val="20"/>
              </w:rPr>
            </w:r>
            <w:r>
              <w:rPr>
                <w:sz w:val="20"/>
              </w:rPr>
              <w:t>0.506</w:t>
            </w:r>
          </w:p>
        </w:tc>
        <w:tc>
          <w:tcPr>
            <w:tcW w:type="dxa" w:w="1728"/>
          </w:tcPr>
          <w:p>
            <w:pPr>
              <w:spacing w:line="240" w:lineRule="auto" w:after="40"/>
            </w:pPr>
            <w:r>
              <w:rPr>
                <w:sz w:val="20"/>
              </w:rPr>
            </w:r>
            <w:r>
              <w:rPr>
                <w:sz w:val="20"/>
              </w:rPr>
              <w:t>0.751</w:t>
            </w:r>
          </w:p>
        </w:tc>
      </w:tr>
      <w:tr>
        <w:tc>
          <w:tcPr>
            <w:tcW w:type="dxa" w:w="1728"/>
          </w:tcPr>
          <w:p>
            <w:pPr>
              <w:spacing w:line="240" w:lineRule="auto" w:after="40"/>
            </w:pPr>
            <w:r>
              <w:rPr>
                <w:sz w:val="20"/>
              </w:rPr>
            </w:r>
            <w:r>
              <w:rPr>
                <w:sz w:val="20"/>
              </w:rPr>
              <w:t>A0 — no physics, raw features</w:t>
            </w:r>
          </w:p>
        </w:tc>
        <w:tc>
          <w:tcPr>
            <w:tcW w:type="dxa" w:w="1728"/>
          </w:tcPr>
          <w:p>
            <w:pPr>
              <w:spacing w:line="240" w:lineRule="auto" w:after="40"/>
            </w:pPr>
            <w:r>
              <w:rPr>
                <w:sz w:val="20"/>
              </w:rPr>
            </w:r>
            <w:r>
              <w:rPr>
                <w:sz w:val="20"/>
              </w:rPr>
              <w:t>0.979</w:t>
            </w:r>
          </w:p>
        </w:tc>
        <w:tc>
          <w:tcPr>
            <w:tcW w:type="dxa" w:w="1728"/>
          </w:tcPr>
          <w:p>
            <w:pPr>
              <w:spacing w:line="240" w:lineRule="auto" w:after="40"/>
            </w:pPr>
            <w:r>
              <w:rPr>
                <w:sz w:val="20"/>
              </w:rPr>
            </w:r>
            <w:r>
              <w:rPr>
                <w:sz w:val="20"/>
              </w:rPr>
              <w:t>0.903</w:t>
            </w:r>
          </w:p>
        </w:tc>
        <w:tc>
          <w:tcPr>
            <w:tcW w:type="dxa" w:w="1728"/>
          </w:tcPr>
          <w:p>
            <w:pPr>
              <w:spacing w:line="240" w:lineRule="auto" w:after="40"/>
            </w:pPr>
            <w:r>
              <w:rPr>
                <w:sz w:val="20"/>
              </w:rPr>
            </w:r>
            <w:r>
              <w:rPr>
                <w:sz w:val="20"/>
              </w:rPr>
              <w:t>-17.997</w:t>
            </w:r>
          </w:p>
        </w:tc>
        <w:tc>
          <w:tcPr>
            <w:tcW w:type="dxa" w:w="1728"/>
          </w:tcPr>
          <w:p>
            <w:pPr>
              <w:spacing w:line="240" w:lineRule="auto" w:after="40"/>
            </w:pPr>
            <w:r>
              <w:rPr>
                <w:sz w:val="20"/>
              </w:rPr>
            </w:r>
            <w:r>
              <w:rPr>
                <w:sz w:val="20"/>
              </w:rPr>
              <w:t>0.719</w:t>
            </w:r>
          </w:p>
        </w:tc>
      </w:tr>
      <w:tr>
        <w:tc>
          <w:tcPr>
            <w:tcW w:type="dxa" w:w="1728"/>
          </w:tcPr>
          <w:p>
            <w:pPr>
              <w:spacing w:line="240" w:lineRule="auto" w:after="40"/>
            </w:pPr>
            <w:r>
              <w:rPr>
                <w:sz w:val="20"/>
              </w:rPr>
            </w:r>
            <w:r>
              <w:rPr>
                <w:sz w:val="20"/>
              </w:rPr>
              <w:t>A1 — latent-heat baseline</w:t>
            </w:r>
          </w:p>
        </w:tc>
        <w:tc>
          <w:tcPr>
            <w:tcW w:type="dxa" w:w="1728"/>
          </w:tcPr>
          <w:p>
            <w:pPr>
              <w:spacing w:line="240" w:lineRule="auto" w:after="40"/>
            </w:pPr>
            <w:r>
              <w:rPr>
                <w:sz w:val="20"/>
              </w:rPr>
            </w:r>
            <w:r>
              <w:rPr>
                <w:sz w:val="20"/>
              </w:rPr>
              <w:t>0.970</w:t>
            </w:r>
          </w:p>
        </w:tc>
        <w:tc>
          <w:tcPr>
            <w:tcW w:type="dxa" w:w="1728"/>
          </w:tcPr>
          <w:p>
            <w:pPr>
              <w:spacing w:line="240" w:lineRule="auto" w:after="40"/>
            </w:pPr>
            <w:r>
              <w:rPr>
                <w:sz w:val="20"/>
              </w:rPr>
            </w:r>
            <w:r>
              <w:rPr>
                <w:sz w:val="20"/>
              </w:rPr>
              <w:t>0.877</w:t>
            </w:r>
          </w:p>
        </w:tc>
        <w:tc>
          <w:tcPr>
            <w:tcW w:type="dxa" w:w="1728"/>
          </w:tcPr>
          <w:p>
            <w:pPr>
              <w:spacing w:line="240" w:lineRule="auto" w:after="40"/>
            </w:pPr>
            <w:r>
              <w:rPr>
                <w:sz w:val="20"/>
              </w:rPr>
            </w:r>
            <w:r>
              <w:rPr>
                <w:sz w:val="20"/>
              </w:rPr>
              <w:t>0.711</w:t>
            </w:r>
          </w:p>
        </w:tc>
        <w:tc>
          <w:tcPr>
            <w:tcW w:type="dxa" w:w="1728"/>
          </w:tcPr>
          <w:p>
            <w:pPr>
              <w:spacing w:line="240" w:lineRule="auto" w:after="40"/>
            </w:pPr>
            <w:r>
              <w:rPr>
                <w:sz w:val="20"/>
              </w:rPr>
            </w:r>
            <w:r>
              <w:rPr>
                <w:sz w:val="20"/>
              </w:rPr>
              <w:t>0.800</w:t>
            </w:r>
          </w:p>
        </w:tc>
      </w:tr>
      <w:tr>
        <w:tc>
          <w:tcPr>
            <w:tcW w:type="dxa" w:w="1728"/>
          </w:tcPr>
          <w:p>
            <w:pPr>
              <w:spacing w:line="240" w:lineRule="auto" w:after="40"/>
            </w:pPr>
            <w:r>
              <w:rPr>
                <w:sz w:val="20"/>
              </w:rPr>
            </w:r>
            <w:r>
              <w:rPr>
                <w:sz w:val="20"/>
              </w:rPr>
              <w:t>A2 — plus Katto-Ohno baseline</w:t>
            </w:r>
          </w:p>
        </w:tc>
        <w:tc>
          <w:tcPr>
            <w:tcW w:type="dxa" w:w="1728"/>
          </w:tcPr>
          <w:p>
            <w:pPr>
              <w:spacing w:line="240" w:lineRule="auto" w:after="40"/>
            </w:pPr>
            <w:r>
              <w:rPr>
                <w:sz w:val="20"/>
              </w:rPr>
            </w:r>
            <w:r>
              <w:rPr>
                <w:sz w:val="20"/>
              </w:rPr>
              <w:t>0.978</w:t>
            </w:r>
          </w:p>
        </w:tc>
        <w:tc>
          <w:tcPr>
            <w:tcW w:type="dxa" w:w="1728"/>
          </w:tcPr>
          <w:p>
            <w:pPr>
              <w:spacing w:line="240" w:lineRule="auto" w:after="40"/>
            </w:pPr>
            <w:r>
              <w:rPr>
                <w:sz w:val="20"/>
              </w:rPr>
            </w:r>
            <w:r>
              <w:rPr>
                <w:sz w:val="20"/>
              </w:rPr>
              <w:t>0.812</w:t>
            </w:r>
          </w:p>
        </w:tc>
        <w:tc>
          <w:tcPr>
            <w:tcW w:type="dxa" w:w="1728"/>
          </w:tcPr>
          <w:p>
            <w:pPr>
              <w:spacing w:line="240" w:lineRule="auto" w:after="40"/>
            </w:pPr>
            <w:r>
              <w:rPr>
                <w:sz w:val="20"/>
              </w:rPr>
            </w:r>
            <w:r>
              <w:rPr>
                <w:sz w:val="20"/>
              </w:rPr>
              <w:t>0.606</w:t>
            </w:r>
          </w:p>
        </w:tc>
        <w:tc>
          <w:tcPr>
            <w:tcW w:type="dxa" w:w="1728"/>
          </w:tcPr>
          <w:p>
            <w:pPr>
              <w:spacing w:line="240" w:lineRule="auto" w:after="40"/>
            </w:pPr>
            <w:r>
              <w:rPr>
                <w:sz w:val="20"/>
              </w:rPr>
            </w:r>
            <w:r>
              <w:rPr>
                <w:sz w:val="20"/>
              </w:rPr>
              <w:t>-0.797</w:t>
            </w:r>
          </w:p>
        </w:tc>
      </w:tr>
      <w:tr>
        <w:tc>
          <w:tcPr>
            <w:tcW w:type="dxa" w:w="1728"/>
          </w:tcPr>
          <w:p>
            <w:pPr>
              <w:spacing w:line="240" w:lineRule="auto" w:after="40"/>
            </w:pPr>
            <w:r>
              <w:rPr>
                <w:sz w:val="20"/>
              </w:rPr>
            </w:r>
            <w:r>
              <w:rPr>
                <w:sz w:val="20"/>
              </w:rPr>
              <w:t>A3 — plus dimensionless features</w:t>
            </w:r>
          </w:p>
        </w:tc>
        <w:tc>
          <w:tcPr>
            <w:tcW w:type="dxa" w:w="1728"/>
          </w:tcPr>
          <w:p>
            <w:pPr>
              <w:spacing w:line="240" w:lineRule="auto" w:after="40"/>
            </w:pPr>
            <w:r>
              <w:rPr>
                <w:sz w:val="20"/>
              </w:rPr>
            </w:r>
            <w:r>
              <w:rPr>
                <w:sz w:val="20"/>
              </w:rPr>
              <w:t>0.982</w:t>
            </w:r>
          </w:p>
        </w:tc>
        <w:tc>
          <w:tcPr>
            <w:tcW w:type="dxa" w:w="1728"/>
          </w:tcPr>
          <w:p>
            <w:pPr>
              <w:spacing w:line="240" w:lineRule="auto" w:after="40"/>
            </w:pPr>
            <w:r>
              <w:rPr>
                <w:sz w:val="20"/>
              </w:rPr>
            </w:r>
            <w:r>
              <w:rPr>
                <w:sz w:val="20"/>
              </w:rPr>
              <w:t>0.790</w:t>
            </w:r>
          </w:p>
        </w:tc>
        <w:tc>
          <w:tcPr>
            <w:tcW w:type="dxa" w:w="1728"/>
          </w:tcPr>
          <w:p>
            <w:pPr>
              <w:spacing w:line="240" w:lineRule="auto" w:after="40"/>
            </w:pPr>
            <w:r>
              <w:rPr>
                <w:sz w:val="20"/>
              </w:rPr>
            </w:r>
            <w:r>
              <w:rPr>
                <w:sz w:val="20"/>
              </w:rPr>
              <w:t>0.252</w:t>
            </w:r>
          </w:p>
        </w:tc>
        <w:tc>
          <w:tcPr>
            <w:tcW w:type="dxa" w:w="1728"/>
          </w:tcPr>
          <w:p>
            <w:pPr>
              <w:spacing w:line="240" w:lineRule="auto" w:after="40"/>
            </w:pPr>
            <w:r>
              <w:rPr>
                <w:sz w:val="20"/>
              </w:rPr>
            </w:r>
            <w:r>
              <w:rPr>
                <w:sz w:val="20"/>
              </w:rPr>
              <w:t>-0.467</w:t>
            </w:r>
          </w:p>
        </w:tc>
      </w:tr>
      <w:tr>
        <w:tc>
          <w:tcPr>
            <w:tcW w:type="dxa" w:w="1728"/>
          </w:tcPr>
          <w:p>
            <w:pPr>
              <w:spacing w:line="240" w:lineRule="auto" w:after="40"/>
            </w:pPr>
            <w:r>
              <w:rPr>
                <w:sz w:val="20"/>
              </w:rPr>
            </w:r>
            <w:r>
              <w:rPr>
                <w:sz w:val="20"/>
              </w:rPr>
              <w:t>A4 — plus mechanism gating</w:t>
            </w:r>
          </w:p>
        </w:tc>
        <w:tc>
          <w:tcPr>
            <w:tcW w:type="dxa" w:w="1728"/>
          </w:tcPr>
          <w:p>
            <w:pPr>
              <w:spacing w:line="240" w:lineRule="auto" w:after="40"/>
            </w:pPr>
            <w:r>
              <w:rPr>
                <w:sz w:val="20"/>
              </w:rPr>
            </w:r>
            <w:r>
              <w:rPr>
                <w:sz w:val="20"/>
              </w:rPr>
              <w:t>0.979</w:t>
            </w:r>
          </w:p>
        </w:tc>
        <w:tc>
          <w:tcPr>
            <w:tcW w:type="dxa" w:w="1728"/>
          </w:tcPr>
          <w:p>
            <w:pPr>
              <w:spacing w:line="240" w:lineRule="auto" w:after="40"/>
            </w:pPr>
            <w:r>
              <w:rPr>
                <w:sz w:val="20"/>
              </w:rPr>
            </w:r>
            <w:r>
              <w:rPr>
                <w:sz w:val="20"/>
              </w:rPr>
              <w:t>0.827</w:t>
            </w:r>
          </w:p>
        </w:tc>
        <w:tc>
          <w:tcPr>
            <w:tcW w:type="dxa" w:w="1728"/>
          </w:tcPr>
          <w:p>
            <w:pPr>
              <w:spacing w:line="240" w:lineRule="auto" w:after="40"/>
            </w:pPr>
            <w:r>
              <w:rPr>
                <w:sz w:val="20"/>
              </w:rPr>
            </w:r>
            <w:r>
              <w:rPr>
                <w:sz w:val="20"/>
              </w:rPr>
              <w:t>0.315</w:t>
            </w:r>
          </w:p>
        </w:tc>
        <w:tc>
          <w:tcPr>
            <w:tcW w:type="dxa" w:w="1728"/>
          </w:tcPr>
          <w:p>
            <w:pPr>
              <w:spacing w:line="240" w:lineRule="auto" w:after="40"/>
            </w:pPr>
            <w:r>
              <w:rPr>
                <w:sz w:val="20"/>
              </w:rPr>
            </w:r>
            <w:r>
              <w:rPr>
                <w:sz w:val="20"/>
              </w:rPr>
              <w:t>0.620</w:t>
            </w:r>
          </w:p>
        </w:tc>
      </w:tr>
      <w:tr>
        <w:tc>
          <w:tcPr>
            <w:tcW w:type="dxa" w:w="1728"/>
          </w:tcPr>
          <w:p>
            <w:pPr>
              <w:spacing w:line="240" w:lineRule="auto" w:after="40"/>
            </w:pPr>
            <w:r>
              <w:rPr>
                <w:sz w:val="20"/>
              </w:rPr>
            </w:r>
            <w:r>
              <w:rPr>
                <w:sz w:val="20"/>
              </w:rPr>
              <w:t>A5 — plus bounded, monotone, trust</w:t>
            </w:r>
          </w:p>
        </w:tc>
        <w:tc>
          <w:tcPr>
            <w:tcW w:type="dxa" w:w="1728"/>
          </w:tcPr>
          <w:p>
            <w:pPr>
              <w:spacing w:line="240" w:lineRule="auto" w:after="40"/>
            </w:pPr>
            <w:r>
              <w:rPr>
                <w:sz w:val="20"/>
              </w:rPr>
            </w:r>
            <w:r>
              <w:rPr>
                <w:sz w:val="20"/>
              </w:rPr>
              <w:t>0.957</w:t>
            </w:r>
          </w:p>
        </w:tc>
        <w:tc>
          <w:tcPr>
            <w:tcW w:type="dxa" w:w="1728"/>
          </w:tcPr>
          <w:p>
            <w:pPr>
              <w:spacing w:line="240" w:lineRule="auto" w:after="40"/>
            </w:pPr>
            <w:r>
              <w:rPr>
                <w:sz w:val="20"/>
              </w:rPr>
            </w:r>
            <w:r>
              <w:rPr>
                <w:sz w:val="20"/>
              </w:rPr>
              <w:t>0.854</w:t>
            </w:r>
          </w:p>
        </w:tc>
        <w:tc>
          <w:tcPr>
            <w:tcW w:type="dxa" w:w="1728"/>
          </w:tcPr>
          <w:p>
            <w:pPr>
              <w:spacing w:line="240" w:lineRule="auto" w:after="40"/>
            </w:pPr>
            <w:r>
              <w:rPr>
                <w:sz w:val="20"/>
              </w:rPr>
            </w:r>
            <w:r>
              <w:rPr>
                <w:sz w:val="20"/>
              </w:rPr>
              <w:t>0.506</w:t>
            </w:r>
          </w:p>
        </w:tc>
        <w:tc>
          <w:tcPr>
            <w:tcW w:type="dxa" w:w="1728"/>
          </w:tcPr>
          <w:p>
            <w:pPr>
              <w:spacing w:line="240" w:lineRule="auto" w:after="40"/>
            </w:pPr>
            <w:r>
              <w:rPr>
                <w:sz w:val="20"/>
              </w:rPr>
            </w:r>
            <w:r>
              <w:rPr>
                <w:sz w:val="20"/>
              </w:rPr>
              <w:t>0.710</w:t>
            </w:r>
          </w:p>
        </w:tc>
      </w:tr>
    </w:tbl>
    <w:p/>
    <w:p>
      <w:pPr>
        <w:jc w:val="both"/>
      </w:pPr>
      <w:r>
        <w:rPr>
          <w:b/>
        </w:rPr>
        <w:t>Attribution — credit the data, not the models.</w:t>
      </w:r>
      <w:r>
        <w:t xml:space="preserve"> A dedicated attribution test separates data repairs from modelling ideas. On the surface-wise split, the Stage-0 data repair, FC-72 saturation properties and the substitution of a well-populated subcooling column for one with 0.8% coverage account on their own for a rise from 0.173 to 0.711, before any physics idea is applied. Most of the apparent gain from physics-informed modelling is in fact the value of correct data.</w:t>
      </w:r>
    </w:p>
    <w:p>
      <w:pPr>
        <w:pStyle w:val="Heading3"/>
      </w:pPr>
      <w:r>
        <w:rPr>
          <w:rFonts w:ascii="Times New Roman" w:hAnsi="Times New Roman"/>
          <w:color w:val="000000"/>
        </w:rPr>
        <w:t>10.2 Dimensionless formulation and cross-fluid transfer</w:t>
      </w:r>
    </w:p>
    <w:p>
      <w:pPr>
        <w:jc w:val="both"/>
      </w:pPr>
      <w:r>
        <w:t>Models were trained exclusively on water and tested on refrigerants never seen in training, comparing raw-variable prediction against prediction of the Boiling number from dimensionless groups.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after="40"/>
            </w:pPr>
            <w:r>
              <w:rPr>
                <w:b/>
                <w:sz w:val="20"/>
              </w:rPr>
            </w:r>
            <w:r>
              <w:rPr>
                <w:b/>
                <w:sz w:val="20"/>
              </w:rPr>
              <w:t>Held-out test</w:t>
            </w:r>
          </w:p>
        </w:tc>
        <w:tc>
          <w:tcPr>
            <w:tcW w:type="dxa" w:w="2160"/>
          </w:tcPr>
          <w:p>
            <w:pPr>
              <w:spacing w:line="240" w:lineRule="auto" w:after="40"/>
            </w:pPr>
            <w:r>
              <w:rPr>
                <w:b/>
                <w:sz w:val="20"/>
              </w:rPr>
            </w:r>
            <w:r>
              <w:rPr>
                <w:b/>
                <w:sz w:val="20"/>
              </w:rPr>
              <w:t>Raw-variable error</w:t>
            </w:r>
          </w:p>
        </w:tc>
        <w:tc>
          <w:tcPr>
            <w:tcW w:type="dxa" w:w="2160"/>
          </w:tcPr>
          <w:p>
            <w:pPr>
              <w:spacing w:line="240" w:lineRule="auto" w:after="40"/>
            </w:pPr>
            <w:r>
              <w:rPr>
                <w:b/>
                <w:sz w:val="20"/>
              </w:rPr>
            </w:r>
            <w:r>
              <w:rPr>
                <w:b/>
                <w:sz w:val="20"/>
              </w:rPr>
              <w:t>Dimensionless error</w:t>
            </w:r>
          </w:p>
        </w:tc>
        <w:tc>
          <w:tcPr>
            <w:tcW w:type="dxa" w:w="2160"/>
          </w:tcPr>
          <w:p>
            <w:pPr>
              <w:spacing w:line="240" w:lineRule="auto" w:after="40"/>
            </w:pPr>
            <w:r>
              <w:rPr>
                <w:b/>
                <w:sz w:val="20"/>
              </w:rPr>
            </w:r>
            <w:r>
              <w:rPr>
                <w:b/>
                <w:sz w:val="20"/>
              </w:rPr>
              <w:t>Improvement</w:t>
            </w:r>
          </w:p>
        </w:tc>
      </w:tr>
      <w:tr>
        <w:tc>
          <w:tcPr>
            <w:tcW w:type="dxa" w:w="2160"/>
          </w:tcPr>
          <w:p>
            <w:pPr>
              <w:spacing w:line="240" w:lineRule="auto" w:after="40"/>
            </w:pPr>
            <w:r>
              <w:rPr>
                <w:sz w:val="20"/>
              </w:rPr>
            </w:r>
            <w:r>
              <w:rPr>
                <w:sz w:val="20"/>
              </w:rPr>
              <w:t>Pioro R-134a (268 rows, unseen fluid)</w:t>
            </w:r>
          </w:p>
        </w:tc>
        <w:tc>
          <w:tcPr>
            <w:tcW w:type="dxa" w:w="2160"/>
          </w:tcPr>
          <w:p>
            <w:pPr>
              <w:spacing w:line="240" w:lineRule="auto" w:after="40"/>
            </w:pPr>
            <w:r>
              <w:rPr>
                <w:sz w:val="20"/>
              </w:rPr>
            </w:r>
            <w:r>
              <w:rPr>
                <w:sz w:val="20"/>
              </w:rPr>
              <w:t>3,632%</w:t>
            </w:r>
          </w:p>
        </w:tc>
        <w:tc>
          <w:tcPr>
            <w:tcW w:type="dxa" w:w="2160"/>
          </w:tcPr>
          <w:p>
            <w:pPr>
              <w:spacing w:line="240" w:lineRule="auto" w:after="40"/>
            </w:pPr>
            <w:r>
              <w:rPr>
                <w:sz w:val="20"/>
              </w:rPr>
            </w:r>
            <w:r>
              <w:rPr>
                <w:sz w:val="20"/>
              </w:rPr>
              <w:t>114%</w:t>
            </w:r>
          </w:p>
        </w:tc>
        <w:tc>
          <w:tcPr>
            <w:tcW w:type="dxa" w:w="2160"/>
          </w:tcPr>
          <w:p>
            <w:pPr>
              <w:spacing w:line="240" w:lineRule="auto" w:after="40"/>
            </w:pPr>
            <w:r>
              <w:rPr>
                <w:sz w:val="20"/>
              </w:rPr>
            </w:r>
            <w:r>
              <w:rPr>
                <w:sz w:val="20"/>
              </w:rPr>
              <w:t>32x</w:t>
            </w:r>
          </w:p>
        </w:tc>
      </w:tr>
      <w:tr>
        <w:tc>
          <w:tcPr>
            <w:tcW w:type="dxa" w:w="2160"/>
          </w:tcPr>
          <w:p>
            <w:pPr>
              <w:spacing w:line="240" w:lineRule="auto" w:after="40"/>
            </w:pPr>
            <w:r>
              <w:rPr>
                <w:sz w:val="20"/>
              </w:rPr>
            </w:r>
            <w:r>
              <w:rPr>
                <w:sz w:val="20"/>
              </w:rPr>
              <w:t>Helical R-123 (257 rows, unseen fluid and geometry)</w:t>
            </w:r>
          </w:p>
        </w:tc>
        <w:tc>
          <w:tcPr>
            <w:tcW w:type="dxa" w:w="2160"/>
          </w:tcPr>
          <w:p>
            <w:pPr>
              <w:spacing w:line="240" w:lineRule="auto" w:after="40"/>
            </w:pPr>
            <w:r>
              <w:rPr>
                <w:sz w:val="20"/>
              </w:rPr>
            </w:r>
            <w:r>
              <w:rPr>
                <w:sz w:val="20"/>
              </w:rPr>
              <w:t>796%</w:t>
            </w:r>
          </w:p>
        </w:tc>
        <w:tc>
          <w:tcPr>
            <w:tcW w:type="dxa" w:w="2160"/>
          </w:tcPr>
          <w:p>
            <w:pPr>
              <w:spacing w:line="240" w:lineRule="auto" w:after="40"/>
            </w:pPr>
            <w:r>
              <w:rPr>
                <w:sz w:val="20"/>
              </w:rPr>
            </w:r>
            <w:r>
              <w:rPr>
                <w:sz w:val="20"/>
              </w:rPr>
              <w:t>81%</w:t>
            </w:r>
          </w:p>
        </w:tc>
        <w:tc>
          <w:tcPr>
            <w:tcW w:type="dxa" w:w="2160"/>
          </w:tcPr>
          <w:p>
            <w:pPr>
              <w:spacing w:line="240" w:lineRule="auto" w:after="40"/>
            </w:pPr>
            <w:r>
              <w:rPr>
                <w:sz w:val="20"/>
              </w:rPr>
            </w:r>
            <w:r>
              <w:rPr>
                <w:sz w:val="20"/>
              </w:rPr>
              <w:t>10x</w:t>
            </w:r>
          </w:p>
        </w:tc>
      </w:tr>
      <w:tr>
        <w:tc>
          <w:tcPr>
            <w:tcW w:type="dxa" w:w="2160"/>
          </w:tcPr>
          <w:p>
            <w:pPr>
              <w:spacing w:line="240" w:lineRule="auto" w:after="40"/>
            </w:pPr>
            <w:r>
              <w:rPr>
                <w:sz w:val="20"/>
              </w:rPr>
            </w:r>
            <w:r>
              <w:rPr>
                <w:sz w:val="20"/>
              </w:rPr>
              <w:t>Within water (control)</w:t>
            </w:r>
          </w:p>
        </w:tc>
        <w:tc>
          <w:tcPr>
            <w:tcW w:type="dxa" w:w="2160"/>
          </w:tcPr>
          <w:p>
            <w:pPr>
              <w:spacing w:line="240" w:lineRule="auto" w:after="40"/>
            </w:pPr>
            <w:r>
              <w:rPr>
                <w:sz w:val="20"/>
              </w:rPr>
            </w:r>
            <w:r>
              <w:rPr>
                <w:sz w:val="20"/>
              </w:rPr>
              <w:t>R2 0.851</w:t>
            </w:r>
          </w:p>
        </w:tc>
        <w:tc>
          <w:tcPr>
            <w:tcW w:type="dxa" w:w="2160"/>
          </w:tcPr>
          <w:p>
            <w:pPr>
              <w:spacing w:line="240" w:lineRule="auto" w:after="40"/>
            </w:pPr>
            <w:r>
              <w:rPr>
                <w:sz w:val="20"/>
              </w:rPr>
            </w:r>
            <w:r>
              <w:rPr>
                <w:sz w:val="20"/>
              </w:rPr>
              <w:t>R2 0.849</w:t>
            </w:r>
          </w:p>
        </w:tc>
        <w:tc>
          <w:tcPr>
            <w:tcW w:type="dxa" w:w="2160"/>
          </w:tcPr>
          <w:p>
            <w:pPr>
              <w:spacing w:line="240" w:lineRule="auto" w:after="40"/>
            </w:pPr>
            <w:r>
              <w:rPr>
                <w:sz w:val="20"/>
              </w:rPr>
            </w:r>
            <w:r>
              <w:rPr>
                <w:sz w:val="20"/>
              </w:rPr>
              <w:t>none</w:t>
            </w:r>
          </w:p>
        </w:tc>
      </w:tr>
    </w:tbl>
    <w:p/>
    <w:p>
      <w:pPr>
        <w:jc w:val="both"/>
      </w:pPr>
      <w:r>
        <w:t>The control is the essential result: non-dimensionalisation does not make models more accurate, it makes them portable. Within a single fluid there are no property differences to cancel, and the two formulations are indistinguishable.</w:t>
      </w:r>
    </w:p>
    <w:p>
      <w:pPr>
        <w:pStyle w:val="Heading3"/>
      </w:pPr>
      <w:r>
        <w:rPr>
          <w:rFonts w:ascii="Times New Roman" w:hAnsi="Times New Roman"/>
          <w:color w:val="000000"/>
        </w:rPr>
        <w:t>10.3 Bounded corrections and the fallback trade-off</w:t>
      </w:r>
    </w:p>
    <w:p>
      <w:pPr>
        <w:jc w:val="both"/>
      </w:pPr>
      <w:r>
        <w:t>The learned correction to a physical baseline was clipped to a maximum multiplicative factor, so that far from the training data the correction saturates and the prediction degrades gracefully into the correlation.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Bound on learned correction</w:t>
            </w:r>
          </w:p>
        </w:tc>
        <w:tc>
          <w:tcPr>
            <w:tcW w:type="dxa" w:w="2880"/>
          </w:tcPr>
          <w:p>
            <w:pPr>
              <w:spacing w:line="240" w:lineRule="auto" w:after="40"/>
            </w:pPr>
            <w:r>
              <w:rPr>
                <w:b/>
                <w:sz w:val="20"/>
              </w:rPr>
            </w:r>
            <w:r>
              <w:rPr>
                <w:b/>
                <w:sz w:val="20"/>
              </w:rPr>
              <w:t>Novel data (non-uniform heating)</w:t>
            </w:r>
          </w:p>
        </w:tc>
        <w:tc>
          <w:tcPr>
            <w:tcW w:type="dxa" w:w="2880"/>
          </w:tcPr>
          <w:p>
            <w:pPr>
              <w:spacing w:line="240" w:lineRule="auto" w:after="40"/>
            </w:pPr>
            <w:r>
              <w:rPr>
                <w:b/>
                <w:sz w:val="20"/>
              </w:rPr>
            </w:r>
            <w:r>
              <w:rPr>
                <w:b/>
                <w:sz w:val="20"/>
              </w:rPr>
              <w:t>Familiar data</w:t>
            </w:r>
          </w:p>
        </w:tc>
      </w:tr>
      <w:tr>
        <w:tc>
          <w:tcPr>
            <w:tcW w:type="dxa" w:w="2880"/>
          </w:tcPr>
          <w:p>
            <w:pPr>
              <w:spacing w:line="240" w:lineRule="auto" w:after="40"/>
            </w:pPr>
            <w:r>
              <w:rPr>
                <w:sz w:val="20"/>
              </w:rPr>
            </w:r>
            <w:r>
              <w:rPr>
                <w:sz w:val="20"/>
              </w:rPr>
              <w:t>1.5x (tightest)</w:t>
            </w:r>
          </w:p>
        </w:tc>
        <w:tc>
          <w:tcPr>
            <w:tcW w:type="dxa" w:w="2880"/>
          </w:tcPr>
          <w:p>
            <w:pPr>
              <w:spacing w:line="240" w:lineRule="auto" w:after="40"/>
            </w:pPr>
            <w:r>
              <w:rPr>
                <w:sz w:val="20"/>
              </w:rPr>
            </w:r>
            <w:r>
              <w:rPr>
                <w:sz w:val="20"/>
              </w:rPr>
              <w:t>+0.70</w:t>
            </w:r>
          </w:p>
        </w:tc>
        <w:tc>
          <w:tcPr>
            <w:tcW w:type="dxa" w:w="2880"/>
          </w:tcPr>
          <w:p>
            <w:pPr>
              <w:spacing w:line="240" w:lineRule="auto" w:after="40"/>
            </w:pPr>
            <w:r>
              <w:rPr>
                <w:sz w:val="20"/>
              </w:rPr>
            </w:r>
            <w:r>
              <w:rPr>
                <w:sz w:val="20"/>
              </w:rPr>
              <w:t>-3.93</w:t>
            </w:r>
          </w:p>
        </w:tc>
      </w:tr>
      <w:tr>
        <w:tc>
          <w:tcPr>
            <w:tcW w:type="dxa" w:w="2880"/>
          </w:tcPr>
          <w:p>
            <w:pPr>
              <w:spacing w:line="240" w:lineRule="auto" w:after="40"/>
            </w:pPr>
            <w:r>
              <w:rPr>
                <w:sz w:val="20"/>
              </w:rPr>
            </w:r>
            <w:r>
              <w:rPr>
                <w:sz w:val="20"/>
              </w:rPr>
              <w:t>2x</w:t>
            </w:r>
          </w:p>
        </w:tc>
        <w:tc>
          <w:tcPr>
            <w:tcW w:type="dxa" w:w="2880"/>
          </w:tcPr>
          <w:p>
            <w:pPr>
              <w:spacing w:line="240" w:lineRule="auto" w:after="40"/>
            </w:pPr>
            <w:r>
              <w:rPr>
                <w:sz w:val="20"/>
              </w:rPr>
            </w:r>
            <w:r>
              <w:rPr>
                <w:sz w:val="20"/>
              </w:rPr>
              <w:t>+0.33</w:t>
            </w:r>
          </w:p>
        </w:tc>
        <w:tc>
          <w:tcPr>
            <w:tcW w:type="dxa" w:w="2880"/>
          </w:tcPr>
          <w:p>
            <w:pPr>
              <w:spacing w:line="240" w:lineRule="auto" w:after="40"/>
            </w:pPr>
            <w:r>
              <w:rPr>
                <w:sz w:val="20"/>
              </w:rPr>
            </w:r>
            <w:r>
              <w:rPr>
                <w:sz w:val="20"/>
              </w:rPr>
              <w:t>-1.77</w:t>
            </w:r>
          </w:p>
        </w:tc>
      </w:tr>
      <w:tr>
        <w:tc>
          <w:tcPr>
            <w:tcW w:type="dxa" w:w="2880"/>
          </w:tcPr>
          <w:p>
            <w:pPr>
              <w:spacing w:line="240" w:lineRule="auto" w:after="40"/>
            </w:pPr>
            <w:r>
              <w:rPr>
                <w:sz w:val="20"/>
              </w:rPr>
            </w:r>
            <w:r>
              <w:rPr>
                <w:sz w:val="20"/>
              </w:rPr>
              <w:t>3x</w:t>
            </w:r>
          </w:p>
        </w:tc>
        <w:tc>
          <w:tcPr>
            <w:tcW w:type="dxa" w:w="2880"/>
          </w:tcPr>
          <w:p>
            <w:pPr>
              <w:spacing w:line="240" w:lineRule="auto" w:after="40"/>
            </w:pPr>
            <w:r>
              <w:rPr>
                <w:sz w:val="20"/>
              </w:rPr>
            </w:r>
            <w:r>
              <w:rPr>
                <w:sz w:val="20"/>
              </w:rPr>
              <w:t>-0.19</w:t>
            </w:r>
          </w:p>
        </w:tc>
        <w:tc>
          <w:tcPr>
            <w:tcW w:type="dxa" w:w="2880"/>
          </w:tcPr>
          <w:p>
            <w:pPr>
              <w:spacing w:line="240" w:lineRule="auto" w:after="40"/>
            </w:pPr>
            <w:r>
              <w:rPr>
                <w:sz w:val="20"/>
              </w:rPr>
            </w:r>
            <w:r>
              <w:rPr>
                <w:sz w:val="20"/>
              </w:rPr>
              <w:t>+0.06</w:t>
            </w:r>
          </w:p>
        </w:tc>
      </w:tr>
      <w:tr>
        <w:tc>
          <w:tcPr>
            <w:tcW w:type="dxa" w:w="2880"/>
          </w:tcPr>
          <w:p>
            <w:pPr>
              <w:spacing w:line="240" w:lineRule="auto" w:after="40"/>
            </w:pPr>
            <w:r>
              <w:rPr>
                <w:sz w:val="20"/>
              </w:rPr>
            </w:r>
            <w:r>
              <w:rPr>
                <w:sz w:val="20"/>
              </w:rPr>
              <w:t>Unbounded</w:t>
            </w:r>
          </w:p>
        </w:tc>
        <w:tc>
          <w:tcPr>
            <w:tcW w:type="dxa" w:w="2880"/>
          </w:tcPr>
          <w:p>
            <w:pPr>
              <w:spacing w:line="240" w:lineRule="auto" w:after="40"/>
            </w:pPr>
            <w:r>
              <w:rPr>
                <w:sz w:val="20"/>
              </w:rPr>
            </w:r>
            <w:r>
              <w:rPr>
                <w:sz w:val="20"/>
              </w:rPr>
              <w:t>-0.31</w:t>
            </w:r>
          </w:p>
        </w:tc>
        <w:tc>
          <w:tcPr>
            <w:tcW w:type="dxa" w:w="2880"/>
          </w:tcPr>
          <w:p>
            <w:pPr>
              <w:spacing w:line="240" w:lineRule="auto" w:after="40"/>
            </w:pPr>
            <w:r>
              <w:rPr>
                <w:sz w:val="20"/>
              </w:rPr>
            </w:r>
            <w:r>
              <w:rPr>
                <w:sz w:val="20"/>
              </w:rPr>
              <w:t>+0.99</w:t>
            </w:r>
          </w:p>
        </w:tc>
      </w:tr>
    </w:tbl>
    <w:p/>
    <w:p>
      <w:pPr>
        <w:jc w:val="both"/>
      </w:pPr>
      <w:r>
        <w:t>Strictly monotonic in the bound, and in opposite directions on the two data types. This quantifies the trade-off between physical safety and data-driven accuracy on a single controllable parameter.</w:t>
      </w:r>
    </w:p>
    <w:p>
      <w:pPr>
        <w:pStyle w:val="Heading3"/>
      </w:pPr>
      <w:r>
        <w:rPr>
          <w:rFonts w:ascii="Times New Roman" w:hAnsi="Times New Roman"/>
          <w:color w:val="000000"/>
        </w:rPr>
        <w:t>10.4 Where physics wins outright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40" w:lineRule="auto" w:after="40"/>
            </w:pPr>
            <w:r>
              <w:rPr>
                <w:b/>
                <w:sz w:val="20"/>
              </w:rPr>
            </w:r>
            <w:r>
              <w:rPr>
                <w:b/>
                <w:sz w:val="20"/>
              </w:rPr>
              <w:t>Held-out dataset</w:t>
            </w:r>
          </w:p>
        </w:tc>
        <w:tc>
          <w:tcPr>
            <w:tcW w:type="dxa" w:w="1728"/>
          </w:tcPr>
          <w:p>
            <w:pPr>
              <w:spacing w:line="240" w:lineRule="auto" w:after="40"/>
            </w:pPr>
            <w:r>
              <w:rPr>
                <w:b/>
                <w:sz w:val="20"/>
              </w:rPr>
            </w:r>
            <w:r>
              <w:rPr>
                <w:b/>
                <w:sz w:val="20"/>
              </w:rPr>
              <w:t>Best method</w:t>
            </w:r>
          </w:p>
        </w:tc>
        <w:tc>
          <w:tcPr>
            <w:tcW w:type="dxa" w:w="1728"/>
          </w:tcPr>
          <w:p>
            <w:pPr>
              <w:spacing w:line="240" w:lineRule="auto" w:after="40"/>
            </w:pPr>
            <w:r>
              <w:rPr>
                <w:b/>
                <w:sz w:val="20"/>
              </w:rPr>
            </w:r>
            <w:r>
              <w:rPr>
                <w:b/>
                <w:sz w:val="20"/>
              </w:rPr>
              <w:t>R2</w:t>
            </w:r>
          </w:p>
        </w:tc>
        <w:tc>
          <w:tcPr>
            <w:tcW w:type="dxa" w:w="1728"/>
          </w:tcPr>
          <w:p>
            <w:pPr>
              <w:spacing w:line="240" w:lineRule="auto" w:after="40"/>
            </w:pPr>
            <w:r>
              <w:rPr>
                <w:b/>
                <w:sz w:val="20"/>
              </w:rPr>
            </w:r>
            <w:r>
              <w:rPr>
                <w:b/>
                <w:sz w:val="20"/>
              </w:rPr>
              <w:t>MAPE</w:t>
            </w:r>
          </w:p>
        </w:tc>
        <w:tc>
          <w:tcPr>
            <w:tcW w:type="dxa" w:w="1728"/>
          </w:tcPr>
          <w:p>
            <w:pPr>
              <w:spacing w:line="240" w:lineRule="auto" w:after="40"/>
            </w:pPr>
            <w:r>
              <w:rPr>
                <w:b/>
                <w:sz w:val="20"/>
              </w:rPr>
            </w:r>
            <w:r>
              <w:rPr>
                <w:b/>
                <w:sz w:val="20"/>
              </w:rPr>
              <w:t>Runner-up</w:t>
            </w:r>
          </w:p>
        </w:tc>
      </w:tr>
      <w:tr>
        <w:tc>
          <w:tcPr>
            <w:tcW w:type="dxa" w:w="1728"/>
          </w:tcPr>
          <w:p>
            <w:pPr>
              <w:spacing w:line="240" w:lineRule="auto" w:after="40"/>
            </w:pPr>
            <w:r>
              <w:rPr>
                <w:sz w:val="20"/>
              </w:rPr>
            </w:r>
            <w:r>
              <w:rPr>
                <w:sz w:val="20"/>
              </w:rPr>
              <w:t>NUREG</w:t>
            </w:r>
          </w:p>
        </w:tc>
        <w:tc>
          <w:tcPr>
            <w:tcW w:type="dxa" w:w="1728"/>
          </w:tcPr>
          <w:p>
            <w:pPr>
              <w:spacing w:line="240" w:lineRule="auto" w:after="40"/>
            </w:pPr>
            <w:r>
              <w:rPr>
                <w:sz w:val="20"/>
              </w:rPr>
            </w:r>
            <w:r>
              <w:rPr>
                <w:sz w:val="20"/>
              </w:rPr>
              <w:t>ML on Katto groups</w:t>
            </w:r>
          </w:p>
        </w:tc>
        <w:tc>
          <w:tcPr>
            <w:tcW w:type="dxa" w:w="1728"/>
          </w:tcPr>
          <w:p>
            <w:pPr>
              <w:spacing w:line="240" w:lineRule="auto" w:after="40"/>
            </w:pPr>
            <w:r>
              <w:rPr>
                <w:sz w:val="20"/>
              </w:rPr>
            </w:r>
            <w:r>
              <w:rPr>
                <w:sz w:val="20"/>
              </w:rPr>
              <w:t>0.993</w:t>
            </w:r>
          </w:p>
        </w:tc>
        <w:tc>
          <w:tcPr>
            <w:tcW w:type="dxa" w:w="1728"/>
          </w:tcPr>
          <w:p>
            <w:pPr>
              <w:spacing w:line="240" w:lineRule="auto" w:after="40"/>
            </w:pPr>
            <w:r>
              <w:rPr>
                <w:sz w:val="20"/>
              </w:rPr>
            </w:r>
            <w:r>
              <w:rPr>
                <w:sz w:val="20"/>
              </w:rPr>
              <w:t>3.1%</w:t>
            </w:r>
          </w:p>
        </w:tc>
        <w:tc>
          <w:tcPr>
            <w:tcW w:type="dxa" w:w="1728"/>
          </w:tcPr>
          <w:p>
            <w:pPr>
              <w:spacing w:line="240" w:lineRule="auto" w:after="40"/>
            </w:pPr>
            <w:r>
              <w:rPr>
                <w:sz w:val="20"/>
              </w:rPr>
            </w:r>
            <w:r>
              <w:rPr>
                <w:sz w:val="20"/>
              </w:rPr>
              <w:t>Katto alone -8.20</w:t>
            </w:r>
          </w:p>
        </w:tc>
      </w:tr>
      <w:tr>
        <w:tc>
          <w:tcPr>
            <w:tcW w:type="dxa" w:w="1728"/>
          </w:tcPr>
          <w:p>
            <w:pPr>
              <w:spacing w:line="240" w:lineRule="auto" w:after="40"/>
            </w:pPr>
            <w:r>
              <w:rPr>
                <w:sz w:val="20"/>
              </w:rPr>
            </w:r>
            <w:r>
              <w:rPr>
                <w:sz w:val="20"/>
              </w:rPr>
              <w:t>KAERI uniform</w:t>
            </w:r>
          </w:p>
        </w:tc>
        <w:tc>
          <w:tcPr>
            <w:tcW w:type="dxa" w:w="1728"/>
          </w:tcPr>
          <w:p>
            <w:pPr>
              <w:spacing w:line="240" w:lineRule="auto" w:after="40"/>
            </w:pPr>
            <w:r>
              <w:rPr>
                <w:sz w:val="20"/>
              </w:rPr>
            </w:r>
            <w:r>
              <w:rPr>
                <w:sz w:val="20"/>
              </w:rPr>
              <w:t>Biasi correlation</w:t>
            </w:r>
          </w:p>
        </w:tc>
        <w:tc>
          <w:tcPr>
            <w:tcW w:type="dxa" w:w="1728"/>
          </w:tcPr>
          <w:p>
            <w:pPr>
              <w:spacing w:line="240" w:lineRule="auto" w:after="40"/>
            </w:pPr>
            <w:r>
              <w:rPr>
                <w:sz w:val="20"/>
              </w:rPr>
            </w:r>
            <w:r>
              <w:rPr>
                <w:sz w:val="20"/>
              </w:rPr>
              <w:t>0.628</w:t>
            </w:r>
          </w:p>
        </w:tc>
        <w:tc>
          <w:tcPr>
            <w:tcW w:type="dxa" w:w="1728"/>
          </w:tcPr>
          <w:p>
            <w:pPr>
              <w:spacing w:line="240" w:lineRule="auto" w:after="40"/>
            </w:pPr>
            <w:r>
              <w:rPr>
                <w:sz w:val="20"/>
              </w:rPr>
            </w:r>
            <w:r>
              <w:rPr>
                <w:sz w:val="20"/>
              </w:rPr>
              <w:t>30.4%</w:t>
            </w:r>
          </w:p>
        </w:tc>
        <w:tc>
          <w:tcPr>
            <w:tcW w:type="dxa" w:w="1728"/>
          </w:tcPr>
          <w:p>
            <w:pPr>
              <w:spacing w:line="240" w:lineRule="auto" w:after="40"/>
            </w:pPr>
            <w:r>
              <w:rPr>
                <w:sz w:val="20"/>
              </w:rPr>
            </w:r>
            <w:r>
              <w:rPr>
                <w:sz w:val="20"/>
              </w:rPr>
              <w:t>ML 0.537</w:t>
            </w:r>
          </w:p>
        </w:tc>
      </w:tr>
      <w:tr>
        <w:tc>
          <w:tcPr>
            <w:tcW w:type="dxa" w:w="1728"/>
          </w:tcPr>
          <w:p>
            <w:pPr>
              <w:spacing w:line="240" w:lineRule="auto" w:after="40"/>
            </w:pPr>
            <w:r>
              <w:rPr>
                <w:sz w:val="20"/>
              </w:rPr>
            </w:r>
            <w:r>
              <w:rPr>
                <w:sz w:val="20"/>
              </w:rPr>
              <w:t>KAERI non-uniform</w:t>
            </w:r>
          </w:p>
        </w:tc>
        <w:tc>
          <w:tcPr>
            <w:tcW w:type="dxa" w:w="1728"/>
          </w:tcPr>
          <w:p>
            <w:pPr>
              <w:spacing w:line="240" w:lineRule="auto" w:after="40"/>
            </w:pPr>
            <w:r>
              <w:rPr>
                <w:sz w:val="20"/>
              </w:rPr>
            </w:r>
            <w:r>
              <w:rPr>
                <w:b/>
                <w:sz w:val="20"/>
              </w:rPr>
              <w:t>Katto-Ohno, no fitting</w:t>
            </w:r>
          </w:p>
        </w:tc>
        <w:tc>
          <w:tcPr>
            <w:tcW w:type="dxa" w:w="1728"/>
          </w:tcPr>
          <w:p>
            <w:pPr>
              <w:spacing w:line="240" w:lineRule="auto" w:after="40"/>
            </w:pPr>
            <w:r>
              <w:rPr>
                <w:sz w:val="20"/>
              </w:rPr>
            </w:r>
            <w:r>
              <w:rPr>
                <w:sz w:val="20"/>
              </w:rPr>
              <w:t>0.821</w:t>
            </w:r>
          </w:p>
        </w:tc>
        <w:tc>
          <w:tcPr>
            <w:tcW w:type="dxa" w:w="1728"/>
          </w:tcPr>
          <w:p>
            <w:pPr>
              <w:spacing w:line="240" w:lineRule="auto" w:after="40"/>
            </w:pPr>
            <w:r>
              <w:rPr>
                <w:sz w:val="20"/>
              </w:rPr>
            </w:r>
            <w:r>
              <w:rPr>
                <w:sz w:val="20"/>
              </w:rPr>
              <w:t>21.8%</w:t>
            </w:r>
          </w:p>
        </w:tc>
        <w:tc>
          <w:tcPr>
            <w:tcW w:type="dxa" w:w="1728"/>
          </w:tcPr>
          <w:p>
            <w:pPr>
              <w:spacing w:line="240" w:lineRule="auto" w:after="40"/>
            </w:pPr>
            <w:r>
              <w:rPr>
                <w:sz w:val="20"/>
              </w:rPr>
            </w:r>
            <w:r>
              <w:rPr>
                <w:sz w:val="20"/>
              </w:rPr>
              <w:t>ML -0.077</w:t>
            </w:r>
          </w:p>
        </w:tc>
      </w:tr>
      <w:tr>
        <w:tc>
          <w:tcPr>
            <w:tcW w:type="dxa" w:w="1728"/>
          </w:tcPr>
          <w:p>
            <w:pPr>
              <w:spacing w:line="240" w:lineRule="auto" w:after="40"/>
            </w:pPr>
            <w:r>
              <w:rPr>
                <w:sz w:val="20"/>
              </w:rPr>
            </w:r>
            <w:r>
              <w:rPr>
                <w:sz w:val="20"/>
              </w:rPr>
              <w:t>Helical R-123</w:t>
            </w:r>
          </w:p>
        </w:tc>
        <w:tc>
          <w:tcPr>
            <w:tcW w:type="dxa" w:w="1728"/>
          </w:tcPr>
          <w:p>
            <w:pPr>
              <w:spacing w:line="240" w:lineRule="auto" w:after="40"/>
            </w:pPr>
            <w:r>
              <w:rPr>
                <w:sz w:val="20"/>
              </w:rPr>
            </w:r>
            <w:r>
              <w:rPr>
                <w:sz w:val="20"/>
              </w:rPr>
              <w:t>ML</w:t>
            </w:r>
          </w:p>
        </w:tc>
        <w:tc>
          <w:tcPr>
            <w:tcW w:type="dxa" w:w="1728"/>
          </w:tcPr>
          <w:p>
            <w:pPr>
              <w:spacing w:line="240" w:lineRule="auto" w:after="40"/>
            </w:pPr>
            <w:r>
              <w:rPr>
                <w:sz w:val="20"/>
              </w:rPr>
            </w:r>
            <w:r>
              <w:rPr>
                <w:sz w:val="20"/>
              </w:rPr>
              <w:t>0.205</w:t>
            </w:r>
          </w:p>
        </w:tc>
        <w:tc>
          <w:tcPr>
            <w:tcW w:type="dxa" w:w="1728"/>
          </w:tcPr>
          <w:p>
            <w:pPr>
              <w:spacing w:line="240" w:lineRule="auto" w:after="40"/>
            </w:pPr>
            <w:r>
              <w:rPr>
                <w:sz w:val="20"/>
              </w:rPr>
            </w:r>
            <w:r>
              <w:rPr>
                <w:sz w:val="20"/>
              </w:rPr>
              <w:t>34.6%</w:t>
            </w:r>
          </w:p>
        </w:tc>
        <w:tc>
          <w:tcPr>
            <w:tcW w:type="dxa" w:w="1728"/>
          </w:tcPr>
          <w:p>
            <w:pPr>
              <w:spacing w:line="240" w:lineRule="auto" w:after="40"/>
            </w:pPr>
            <w:r>
              <w:rPr>
                <w:sz w:val="20"/>
              </w:rPr>
            </w:r>
            <w:r>
              <w:rPr>
                <w:sz w:val="20"/>
              </w:rPr>
              <w:t>Katto -15.7</w:t>
            </w:r>
          </w:p>
        </w:tc>
      </w:tr>
    </w:tbl>
    <w:p/>
    <w:p>
      <w:pPr>
        <w:jc w:val="both"/>
      </w:pPr>
      <w:r>
        <w:t>On axially non-uniform heating, a regime absent from training, a 1984 correlation with zero fitted parameters outperforms every machine-learning model by a wide margin. Conversely Katto fails on helical coils, correctly so: it is derived for straight tubes and does not model secondary swirl flows.</w:t>
      </w:r>
    </w:p>
    <w:p>
      <w:pPr>
        <w:pStyle w:val="Heading3"/>
      </w:pPr>
      <w:r>
        <w:rPr>
          <w:rFonts w:ascii="Times New Roman" w:hAnsi="Times New Roman"/>
          <w:color w:val="000000"/>
        </w:rPr>
        <w:t>10.5 Adaptive fallback and an open problem</w:t>
      </w:r>
    </w:p>
    <w:p>
      <w:pPr>
        <w:jc w:val="both"/>
      </w:pPr>
      <w:r>
        <w:t>A novelty-weighted blend was constructed, measuring Mahalanobis distance from the training distribution and blending machine learning with physics in log space so that familiar points trust the learned model and novel points fall back continuously to the correlation. The blend width was calibrated honestly on held-out training publications, with test data playing no part.</w:t>
      </w:r>
    </w:p>
    <w:p>
      <w:pPr>
        <w:jc w:val="both"/>
      </w:pPr>
      <w:r>
        <w:t xml:space="preserve">The calibration selected </w:t>
      </w:r>
      <w:r>
        <w:rPr>
          <w:b/>
        </w:rPr>
        <w:t>zero physics weight</w:t>
      </w:r>
      <w:r>
        <w:t xml:space="preserve">, that is pure machine learning, because performance on held-out training publications increased monotonically with blend width. Yet that selection is demonstrably wrong for the non-uniform-heating dataset, where physics beats machine learning 0.82 to -0.08. The cause is structural: the training publications are all water in straight tubes, so holding one out never produces a point novel enough to reveal where the fallback earns its value. </w:t>
      </w:r>
      <w:r>
        <w:rPr>
          <w:b/>
        </w:rPr>
        <w:t>An out-of-distribution fallback cannot be honestly calibrated using in-distribution data</w:t>
      </w:r>
      <w:r>
        <w:t>, and by construction out-of-distribution data is unavailable at calibration time. The novelty measure itself is sound, correctly ranking the non-uniform dataset as most novel, but the calibration procedure discards that signal.</w:t>
      </w:r>
    </w:p>
    <w:p>
      <w:pPr>
        <w:pStyle w:val="Heading3"/>
      </w:pPr>
      <w:r>
        <w:rPr>
          <w:rFonts w:ascii="Times New Roman" w:hAnsi="Times New Roman"/>
          <w:color w:val="000000"/>
        </w:rPr>
        <w:t>10.6 Methods evaluated and their verdicts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Method</w:t>
            </w:r>
          </w:p>
        </w:tc>
        <w:tc>
          <w:tcPr>
            <w:tcW w:type="dxa" w:w="2880"/>
          </w:tcPr>
          <w:p>
            <w:pPr>
              <w:spacing w:line="240" w:lineRule="auto" w:after="40"/>
            </w:pPr>
            <w:r>
              <w:rPr>
                <w:b/>
                <w:sz w:val="20"/>
              </w:rPr>
            </w:r>
            <w:r>
              <w:rPr>
                <w:b/>
                <w:sz w:val="20"/>
              </w:rPr>
              <w:t>Verdict</w:t>
            </w:r>
          </w:p>
        </w:tc>
        <w:tc>
          <w:tcPr>
            <w:tcW w:type="dxa" w:w="2880"/>
          </w:tcPr>
          <w:p>
            <w:pPr>
              <w:spacing w:line="240" w:lineRule="auto" w:after="40"/>
            </w:pPr>
            <w:r>
              <w:rPr>
                <w:b/>
                <w:sz w:val="20"/>
              </w:rPr>
            </w:r>
            <w:r>
              <w:rPr>
                <w:b/>
                <w:sz w:val="20"/>
              </w:rPr>
              <w:t>Evidence</w:t>
            </w:r>
          </w:p>
        </w:tc>
      </w:tr>
      <w:tr>
        <w:tc>
          <w:tcPr>
            <w:tcW w:type="dxa" w:w="2880"/>
          </w:tcPr>
          <w:p>
            <w:pPr>
              <w:spacing w:line="240" w:lineRule="auto" w:after="40"/>
            </w:pPr>
            <w:r>
              <w:rPr>
                <w:sz w:val="20"/>
              </w:rPr>
            </w:r>
            <w:r>
              <w:rPr>
                <w:sz w:val="20"/>
              </w:rPr>
              <w:t>Dimensionless groups (Katto formulation)</w:t>
            </w:r>
          </w:p>
        </w:tc>
        <w:tc>
          <w:tcPr>
            <w:tcW w:type="dxa" w:w="2880"/>
          </w:tcPr>
          <w:p>
            <w:pPr>
              <w:spacing w:line="240" w:lineRule="auto" w:after="40"/>
            </w:pPr>
            <w:r>
              <w:rPr>
                <w:sz w:val="20"/>
              </w:rPr>
            </w:r>
            <w:r>
              <w:rPr>
                <w:sz w:val="20"/>
              </w:rPr>
              <w:t>Strong</w:t>
            </w:r>
          </w:p>
        </w:tc>
        <w:tc>
          <w:tcPr>
            <w:tcW w:type="dxa" w:w="2880"/>
          </w:tcPr>
          <w:p>
            <w:pPr>
              <w:spacing w:line="240" w:lineRule="auto" w:after="40"/>
            </w:pPr>
            <w:r>
              <w:rPr>
                <w:sz w:val="20"/>
              </w:rPr>
            </w:r>
            <w:r>
              <w:rPr>
                <w:sz w:val="20"/>
              </w:rPr>
              <w:t>R2 0.993 at 3.1% error; 10 to 32x cross-fluid improvement</w:t>
            </w:r>
          </w:p>
        </w:tc>
      </w:tr>
      <w:tr>
        <w:tc>
          <w:tcPr>
            <w:tcW w:type="dxa" w:w="2880"/>
          </w:tcPr>
          <w:p>
            <w:pPr>
              <w:spacing w:line="240" w:lineRule="auto" w:after="40"/>
            </w:pPr>
            <w:r>
              <w:rPr>
                <w:sz w:val="20"/>
              </w:rPr>
            </w:r>
            <w:r>
              <w:rPr>
                <w:sz w:val="20"/>
              </w:rPr>
              <w:t>Physics correlation as backbone</w:t>
            </w:r>
          </w:p>
        </w:tc>
        <w:tc>
          <w:tcPr>
            <w:tcW w:type="dxa" w:w="2880"/>
          </w:tcPr>
          <w:p>
            <w:pPr>
              <w:spacing w:line="240" w:lineRule="auto" w:after="40"/>
            </w:pPr>
            <w:r>
              <w:rPr>
                <w:sz w:val="20"/>
              </w:rPr>
            </w:r>
            <w:r>
              <w:rPr>
                <w:sz w:val="20"/>
              </w:rPr>
              <w:t>Strong</w:t>
            </w:r>
          </w:p>
        </w:tc>
        <w:tc>
          <w:tcPr>
            <w:tcW w:type="dxa" w:w="2880"/>
          </w:tcPr>
          <w:p>
            <w:pPr>
              <w:spacing w:line="240" w:lineRule="auto" w:after="40"/>
            </w:pPr>
            <w:r>
              <w:rPr>
                <w:sz w:val="20"/>
              </w:rPr>
            </w:r>
            <w:r>
              <w:rPr>
                <w:sz w:val="20"/>
              </w:rPr>
              <w:t>Wins outright where ML collapses (0.821 versus -0.077)</w:t>
            </w:r>
          </w:p>
        </w:tc>
      </w:tr>
      <w:tr>
        <w:tc>
          <w:tcPr>
            <w:tcW w:type="dxa" w:w="2880"/>
          </w:tcPr>
          <w:p>
            <w:pPr>
              <w:spacing w:line="240" w:lineRule="auto" w:after="40"/>
            </w:pPr>
            <w:r>
              <w:rPr>
                <w:sz w:val="20"/>
              </w:rPr>
            </w:r>
            <w:r>
              <w:rPr>
                <w:sz w:val="20"/>
              </w:rPr>
              <w:t>Bounded residual correction</w:t>
            </w:r>
          </w:p>
        </w:tc>
        <w:tc>
          <w:tcPr>
            <w:tcW w:type="dxa" w:w="2880"/>
          </w:tcPr>
          <w:p>
            <w:pPr>
              <w:spacing w:line="240" w:lineRule="auto" w:after="40"/>
            </w:pPr>
            <w:r>
              <w:rPr>
                <w:sz w:val="20"/>
              </w:rPr>
            </w:r>
            <w:r>
              <w:rPr>
                <w:sz w:val="20"/>
              </w:rPr>
              <w:t>Works as designed</w:t>
            </w:r>
          </w:p>
        </w:tc>
        <w:tc>
          <w:tcPr>
            <w:tcW w:type="dxa" w:w="2880"/>
          </w:tcPr>
          <w:p>
            <w:pPr>
              <w:spacing w:line="240" w:lineRule="auto" w:after="40"/>
            </w:pPr>
            <w:r>
              <w:rPr>
                <w:sz w:val="20"/>
              </w:rPr>
            </w:r>
            <w:r>
              <w:rPr>
                <w:sz w:val="20"/>
              </w:rPr>
              <w:t>Monotonic trade-off; catastrophic divergence made structurally impossible</w:t>
            </w:r>
          </w:p>
        </w:tc>
      </w:tr>
      <w:tr>
        <w:tc>
          <w:tcPr>
            <w:tcW w:type="dxa" w:w="2880"/>
          </w:tcPr>
          <w:p>
            <w:pPr>
              <w:spacing w:line="240" w:lineRule="auto" w:after="40"/>
            </w:pPr>
            <w:r>
              <w:rPr>
                <w:sz w:val="20"/>
              </w:rPr>
            </w:r>
            <w:r>
              <w:rPr>
                <w:sz w:val="20"/>
              </w:rPr>
              <w:t>Conservative quantile prediction</w:t>
            </w:r>
          </w:p>
        </w:tc>
        <w:tc>
          <w:tcPr>
            <w:tcW w:type="dxa" w:w="2880"/>
          </w:tcPr>
          <w:p>
            <w:pPr>
              <w:spacing w:line="240" w:lineRule="auto" w:after="40"/>
            </w:pPr>
            <w:r>
              <w:rPr>
                <w:sz w:val="20"/>
              </w:rPr>
            </w:r>
            <w:r>
              <w:rPr>
                <w:sz w:val="20"/>
              </w:rPr>
              <w:t>Conditional</w:t>
            </w:r>
          </w:p>
        </w:tc>
        <w:tc>
          <w:tcPr>
            <w:tcW w:type="dxa" w:w="2880"/>
          </w:tcPr>
          <w:p>
            <w:pPr>
              <w:spacing w:line="240" w:lineRule="auto" w:after="40"/>
            </w:pPr>
            <w:r>
              <w:rPr>
                <w:sz w:val="20"/>
              </w:rPr>
            </w:r>
            <w:r>
              <w:rPr>
                <w:sz w:val="20"/>
              </w:rPr>
              <w:t>80% safe-side coverage in-distribution, falling to 2–20% out-of-distribution</w:t>
            </w:r>
          </w:p>
        </w:tc>
      </w:tr>
      <w:tr>
        <w:tc>
          <w:tcPr>
            <w:tcW w:type="dxa" w:w="2880"/>
          </w:tcPr>
          <w:p>
            <w:pPr>
              <w:spacing w:line="240" w:lineRule="auto" w:after="40"/>
            </w:pPr>
            <w:r>
              <w:rPr>
                <w:sz w:val="20"/>
              </w:rPr>
            </w:r>
            <w:r>
              <w:rPr>
                <w:sz w:val="20"/>
              </w:rPr>
              <w:t>Regime-specific monotonicity</w:t>
            </w:r>
          </w:p>
        </w:tc>
        <w:tc>
          <w:tcPr>
            <w:tcW w:type="dxa" w:w="2880"/>
          </w:tcPr>
          <w:p>
            <w:pPr>
              <w:spacing w:line="240" w:lineRule="auto" w:after="40"/>
            </w:pPr>
            <w:r>
              <w:rPr>
                <w:sz w:val="20"/>
              </w:rPr>
            </w:r>
            <w:r>
              <w:rPr>
                <w:sz w:val="20"/>
              </w:rPr>
              <w:t>Partial</w:t>
            </w:r>
          </w:p>
        </w:tc>
        <w:tc>
          <w:tcPr>
            <w:tcW w:type="dxa" w:w="2880"/>
          </w:tcPr>
          <w:p>
            <w:pPr>
              <w:spacing w:line="240" w:lineRule="auto" w:after="40"/>
            </w:pPr>
            <w:r>
              <w:rPr>
                <w:sz w:val="20"/>
              </w:rPr>
            </w:r>
            <w:r>
              <w:rPr>
                <w:sz w:val="20"/>
              </w:rPr>
              <w:t>Better than global constraints (0.77 versus 0.50) but still below unconstrained</w:t>
            </w:r>
          </w:p>
        </w:tc>
      </w:tr>
      <w:tr>
        <w:tc>
          <w:tcPr>
            <w:tcW w:type="dxa" w:w="2880"/>
          </w:tcPr>
          <w:p>
            <w:pPr>
              <w:spacing w:line="240" w:lineRule="auto" w:after="40"/>
            </w:pPr>
            <w:r>
              <w:rPr>
                <w:sz w:val="20"/>
              </w:rPr>
            </w:r>
            <w:r>
              <w:rPr>
                <w:sz w:val="20"/>
              </w:rPr>
              <w:t>Global monotonicity constraints</w:t>
            </w:r>
          </w:p>
        </w:tc>
        <w:tc>
          <w:tcPr>
            <w:tcW w:type="dxa" w:w="2880"/>
          </w:tcPr>
          <w:p>
            <w:pPr>
              <w:spacing w:line="240" w:lineRule="auto" w:after="40"/>
            </w:pPr>
            <w:r>
              <w:rPr>
                <w:sz w:val="20"/>
              </w:rPr>
            </w:r>
            <w:r>
              <w:rPr>
                <w:sz w:val="20"/>
              </w:rPr>
              <w:t>Harmful</w:t>
            </w:r>
          </w:p>
        </w:tc>
        <w:tc>
          <w:tcPr>
            <w:tcW w:type="dxa" w:w="2880"/>
          </w:tcPr>
          <w:p>
            <w:pPr>
              <w:spacing w:line="240" w:lineRule="auto" w:after="40"/>
            </w:pPr>
            <w:r>
              <w:rPr>
                <w:sz w:val="20"/>
              </w:rPr>
            </w:r>
            <w:r>
              <w:rPr>
                <w:sz w:val="20"/>
              </w:rPr>
              <w:t>Degrades performance broadly; the enforced direction is false near dryout</w:t>
            </w:r>
          </w:p>
        </w:tc>
      </w:tr>
      <w:tr>
        <w:tc>
          <w:tcPr>
            <w:tcW w:type="dxa" w:w="2880"/>
          </w:tcPr>
          <w:p>
            <w:pPr>
              <w:spacing w:line="240" w:lineRule="auto" w:after="40"/>
            </w:pPr>
            <w:r>
              <w:rPr>
                <w:sz w:val="20"/>
              </w:rPr>
            </w:r>
            <w:r>
              <w:rPr>
                <w:sz w:val="20"/>
              </w:rPr>
              <w:t>Mixed-effects machine learning</w:t>
            </w:r>
          </w:p>
        </w:tc>
        <w:tc>
          <w:tcPr>
            <w:tcW w:type="dxa" w:w="2880"/>
          </w:tcPr>
          <w:p>
            <w:pPr>
              <w:spacing w:line="240" w:lineRule="auto" w:after="40"/>
            </w:pPr>
            <w:r>
              <w:rPr>
                <w:sz w:val="20"/>
              </w:rPr>
            </w:r>
            <w:r>
              <w:rPr>
                <w:sz w:val="20"/>
              </w:rPr>
              <w:t>No advantage</w:t>
            </w:r>
          </w:p>
        </w:tc>
        <w:tc>
          <w:tcPr>
            <w:tcW w:type="dxa" w:w="2880"/>
          </w:tcPr>
          <w:p>
            <w:pPr>
              <w:spacing w:line="240" w:lineRule="auto" w:after="40"/>
            </w:pPr>
            <w:r>
              <w:rPr>
                <w:sz w:val="20"/>
              </w:rPr>
            </w:r>
            <w:r>
              <w:rPr>
                <w:sz w:val="20"/>
              </w:rPr>
              <w:t>Best case 0.70, below plain dimensionless 0.80</w:t>
            </w:r>
          </w:p>
        </w:tc>
      </w:tr>
      <w:tr>
        <w:tc>
          <w:tcPr>
            <w:tcW w:type="dxa" w:w="2880"/>
          </w:tcPr>
          <w:p>
            <w:pPr>
              <w:spacing w:line="240" w:lineRule="auto" w:after="40"/>
            </w:pPr>
            <w:r>
              <w:rPr>
                <w:sz w:val="20"/>
              </w:rPr>
            </w:r>
            <w:r>
              <w:rPr>
                <w:sz w:val="20"/>
              </w:rPr>
              <w:t>Stacking ensemble</w:t>
            </w:r>
          </w:p>
        </w:tc>
        <w:tc>
          <w:tcPr>
            <w:tcW w:type="dxa" w:w="2880"/>
          </w:tcPr>
          <w:p>
            <w:pPr>
              <w:spacing w:line="240" w:lineRule="auto" w:after="40"/>
            </w:pPr>
            <w:r>
              <w:rPr>
                <w:sz w:val="20"/>
              </w:rPr>
            </w:r>
            <w:r>
              <w:rPr>
                <w:sz w:val="20"/>
              </w:rPr>
              <w:t>Harmful</w:t>
            </w:r>
          </w:p>
        </w:tc>
        <w:tc>
          <w:tcPr>
            <w:tcW w:type="dxa" w:w="2880"/>
          </w:tcPr>
          <w:p>
            <w:pPr>
              <w:spacing w:line="240" w:lineRule="auto" w:after="40"/>
            </w:pPr>
            <w:r>
              <w:rPr>
                <w:sz w:val="20"/>
              </w:rPr>
            </w:r>
            <w:r>
              <w:rPr>
                <w:sz w:val="20"/>
              </w:rPr>
              <w:t>0.459 against 0.945 for a single Extra Trees under honest splitting</w:t>
            </w:r>
          </w:p>
        </w:tc>
      </w:tr>
      <w:tr>
        <w:tc>
          <w:tcPr>
            <w:tcW w:type="dxa" w:w="2880"/>
          </w:tcPr>
          <w:p>
            <w:pPr>
              <w:spacing w:line="240" w:lineRule="auto" w:after="40"/>
            </w:pPr>
            <w:r>
              <w:rPr>
                <w:sz w:val="20"/>
              </w:rPr>
            </w:r>
            <w:r>
              <w:rPr>
                <w:sz w:val="20"/>
              </w:rPr>
              <w:t>Automatic fallback calibration</w:t>
            </w:r>
          </w:p>
        </w:tc>
        <w:tc>
          <w:tcPr>
            <w:tcW w:type="dxa" w:w="2880"/>
          </w:tcPr>
          <w:p>
            <w:pPr>
              <w:spacing w:line="240" w:lineRule="auto" w:after="40"/>
            </w:pPr>
            <w:r>
              <w:rPr>
                <w:sz w:val="20"/>
              </w:rPr>
            </w:r>
            <w:r>
              <w:rPr>
                <w:sz w:val="20"/>
              </w:rPr>
              <w:t>Open problem</w:t>
            </w:r>
          </w:p>
        </w:tc>
        <w:tc>
          <w:tcPr>
            <w:tcW w:type="dxa" w:w="2880"/>
          </w:tcPr>
          <w:p>
            <w:pPr>
              <w:spacing w:line="240" w:lineRule="auto" w:after="40"/>
            </w:pPr>
            <w:r>
              <w:rPr>
                <w:sz w:val="20"/>
              </w:rPr>
            </w:r>
            <w:r>
              <w:rPr>
                <w:sz w:val="20"/>
              </w:rPr>
              <w:t>Selects zero physics weight; see 10.5</w:t>
            </w:r>
          </w:p>
        </w:tc>
      </w:tr>
    </w:tbl>
    <w:p/>
    <w:p>
      <w:pPr>
        <w:jc w:val="both"/>
      </w:pPr>
      <w:r>
        <w:rPr>
          <w:b/>
        </w:rPr>
        <w:t>Safety finding.</w:t>
      </w:r>
      <w:r>
        <w:t xml:space="preserve"> A quantile model trained to predict the 10th percentile, intended as a conservative design limit, achieves approximately 80% safe-side coverage on familiar data but only 2 to 20% on genuinely novel data. A statistically calibrated safety margin therefore provides false assurance precisely where it is most needed. This has direct implications for any deployment of learned CHF limits.</w:t>
      </w:r>
    </w:p>
    <w:p>
      <w:pPr>
        <w:jc w:val="center"/>
      </w:pPr>
      <w:r>
        <w:rPr>
          <w:sz w:val="20"/>
        </w:rPr>
        <w:t>• • •</w:t>
      </w:r>
    </w:p>
    <w:p>
      <w:pPr>
        <w:pStyle w:val="Heading2"/>
      </w:pPr>
      <w:r>
        <w:rPr>
          <w:rFonts w:ascii="Times New Roman" w:hAnsi="Times New Roman"/>
          <w:color w:val="000000"/>
        </w:rPr>
        <w:t>11. Phase X — Transfer learning</w:t>
      </w:r>
    </w:p>
    <w:p>
      <w:pPr>
        <w:jc w:val="both"/>
      </w:pPr>
      <w:r>
        <w:t>A two-stage transfer-learning pipeline was built: a 300,000-row synthetic corpus sampled from the look-up table for pretraining, followed by fine-tuning on each real target domain. Both a multilayer perceptron and a transformer encoder were implemented, along with LoRA low-rank adaptation and a mixture-of-experts routing variant.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after="40"/>
            </w:pPr>
            <w:r>
              <w:rPr>
                <w:b/>
                <w:sz w:val="20"/>
              </w:rPr>
            </w:r>
            <w:r>
              <w:rPr>
                <w:b/>
                <w:sz w:val="20"/>
              </w:rPr>
              <w:t>Architecture</w:t>
            </w:r>
          </w:p>
        </w:tc>
        <w:tc>
          <w:tcPr>
            <w:tcW w:type="dxa" w:w="1440"/>
          </w:tcPr>
          <w:p>
            <w:pPr>
              <w:spacing w:line="240" w:lineRule="auto" w:after="40"/>
            </w:pPr>
            <w:r>
              <w:rPr>
                <w:b/>
                <w:sz w:val="20"/>
              </w:rPr>
            </w:r>
            <w:r>
              <w:rPr>
                <w:b/>
                <w:sz w:val="20"/>
              </w:rPr>
              <w:t>Split</w:t>
            </w:r>
          </w:p>
        </w:tc>
        <w:tc>
          <w:tcPr>
            <w:tcW w:type="dxa" w:w="1440"/>
          </w:tcPr>
          <w:p>
            <w:pPr>
              <w:spacing w:line="240" w:lineRule="auto" w:after="40"/>
            </w:pPr>
            <w:r>
              <w:rPr>
                <w:b/>
                <w:sz w:val="20"/>
              </w:rPr>
            </w:r>
            <w:r>
              <w:rPr>
                <w:b/>
                <w:sz w:val="20"/>
              </w:rPr>
              <w:t>n</w:t>
            </w:r>
          </w:p>
        </w:tc>
        <w:tc>
          <w:tcPr>
            <w:tcW w:type="dxa" w:w="1440"/>
          </w:tcPr>
          <w:p>
            <w:pPr>
              <w:spacing w:line="240" w:lineRule="auto" w:after="40"/>
            </w:pPr>
            <w:r>
              <w:rPr>
                <w:b/>
                <w:sz w:val="20"/>
              </w:rPr>
            </w:r>
            <w:r>
              <w:rPr>
                <w:b/>
                <w:sz w:val="20"/>
              </w:rPr>
              <w:t>R2</w:t>
            </w:r>
          </w:p>
        </w:tc>
        <w:tc>
          <w:tcPr>
            <w:tcW w:type="dxa" w:w="1440"/>
          </w:tcPr>
          <w:p>
            <w:pPr>
              <w:spacing w:line="240" w:lineRule="auto" w:after="40"/>
            </w:pPr>
            <w:r>
              <w:rPr>
                <w:b/>
                <w:sz w:val="20"/>
              </w:rPr>
            </w:r>
            <w:r>
              <w:rPr>
                <w:b/>
                <w:sz w:val="20"/>
              </w:rPr>
              <w:t>MAPE</w:t>
            </w:r>
          </w:p>
        </w:tc>
        <w:tc>
          <w:tcPr>
            <w:tcW w:type="dxa" w:w="1440"/>
          </w:tcPr>
          <w:p>
            <w:pPr>
              <w:spacing w:line="240" w:lineRule="auto" w:after="40"/>
            </w:pPr>
            <w:r>
              <w:rPr>
                <w:b/>
                <w:sz w:val="20"/>
              </w:rPr>
            </w:r>
            <w:r>
              <w:rPr>
                <w:b/>
                <w:sz w:val="20"/>
              </w:rPr>
              <w:t>Within +/-10%</w:t>
            </w:r>
          </w:p>
        </w:tc>
      </w:tr>
      <w:tr>
        <w:tc>
          <w:tcPr>
            <w:tcW w:type="dxa" w:w="1440"/>
          </w:tcPr>
          <w:p>
            <w:pPr>
              <w:spacing w:line="240" w:lineRule="auto" w:after="40"/>
            </w:pPr>
            <w:r>
              <w:rPr>
                <w:sz w:val="20"/>
              </w:rPr>
            </w:r>
            <w:r>
              <w:rPr>
                <w:sz w:val="20"/>
              </w:rPr>
              <w:t>MLP</w:t>
            </w:r>
          </w:p>
        </w:tc>
        <w:tc>
          <w:tcPr>
            <w:tcW w:type="dxa" w:w="1440"/>
          </w:tcPr>
          <w:p>
            <w:pPr>
              <w:spacing w:line="240" w:lineRule="auto" w:after="40"/>
            </w:pPr>
            <w:r>
              <w:rPr>
                <w:sz w:val="20"/>
              </w:rPr>
            </w:r>
            <w:r>
              <w:rPr>
                <w:sz w:val="20"/>
              </w:rPr>
              <w:t>Interpolation</w:t>
            </w:r>
          </w:p>
        </w:tc>
        <w:tc>
          <w:tcPr>
            <w:tcW w:type="dxa" w:w="1440"/>
          </w:tcPr>
          <w:p>
            <w:pPr>
              <w:spacing w:line="240" w:lineRule="auto" w:after="40"/>
            </w:pPr>
            <w:r>
              <w:rPr>
                <w:sz w:val="20"/>
              </w:rPr>
            </w:r>
            <w:r>
              <w:rPr>
                <w:sz w:val="20"/>
              </w:rPr>
              <w:t>2,459</w:t>
            </w:r>
          </w:p>
        </w:tc>
        <w:tc>
          <w:tcPr>
            <w:tcW w:type="dxa" w:w="1440"/>
          </w:tcPr>
          <w:p>
            <w:pPr>
              <w:spacing w:line="240" w:lineRule="auto" w:after="40"/>
            </w:pPr>
            <w:r>
              <w:rPr>
                <w:sz w:val="20"/>
              </w:rPr>
            </w:r>
            <w:r>
              <w:rPr>
                <w:sz w:val="20"/>
              </w:rPr>
              <w:t>0.951</w:t>
            </w:r>
          </w:p>
        </w:tc>
        <w:tc>
          <w:tcPr>
            <w:tcW w:type="dxa" w:w="1440"/>
          </w:tcPr>
          <w:p>
            <w:pPr>
              <w:spacing w:line="240" w:lineRule="auto" w:after="40"/>
            </w:pPr>
            <w:r>
              <w:rPr>
                <w:sz w:val="20"/>
              </w:rPr>
            </w:r>
            <w:r>
              <w:rPr>
                <w:sz w:val="20"/>
              </w:rPr>
              <w:t>17.9%</w:t>
            </w:r>
          </w:p>
        </w:tc>
        <w:tc>
          <w:tcPr>
            <w:tcW w:type="dxa" w:w="1440"/>
          </w:tcPr>
          <w:p>
            <w:pPr>
              <w:spacing w:line="240" w:lineRule="auto" w:after="40"/>
            </w:pPr>
            <w:r>
              <w:rPr>
                <w:sz w:val="20"/>
              </w:rPr>
            </w:r>
            <w:r>
              <w:rPr>
                <w:sz w:val="20"/>
              </w:rPr>
              <w:t>47.3%</w:t>
            </w:r>
          </w:p>
        </w:tc>
      </w:tr>
      <w:tr>
        <w:tc>
          <w:tcPr>
            <w:tcW w:type="dxa" w:w="1440"/>
          </w:tcPr>
          <w:p>
            <w:pPr>
              <w:spacing w:line="240" w:lineRule="auto" w:after="40"/>
            </w:pPr>
            <w:r>
              <w:rPr>
                <w:sz w:val="20"/>
              </w:rPr>
            </w:r>
            <w:r>
              <w:rPr>
                <w:sz w:val="20"/>
              </w:rPr>
              <w:t>Transformer</w:t>
            </w:r>
          </w:p>
        </w:tc>
        <w:tc>
          <w:tcPr>
            <w:tcW w:type="dxa" w:w="1440"/>
          </w:tcPr>
          <w:p>
            <w:pPr>
              <w:spacing w:line="240" w:lineRule="auto" w:after="40"/>
            </w:pPr>
            <w:r>
              <w:rPr>
                <w:sz w:val="20"/>
              </w:rPr>
            </w:r>
            <w:r>
              <w:rPr>
                <w:sz w:val="20"/>
              </w:rPr>
              <w:t>Interpolation</w:t>
            </w:r>
          </w:p>
        </w:tc>
        <w:tc>
          <w:tcPr>
            <w:tcW w:type="dxa" w:w="1440"/>
          </w:tcPr>
          <w:p>
            <w:pPr>
              <w:spacing w:line="240" w:lineRule="auto" w:after="40"/>
            </w:pPr>
            <w:r>
              <w:rPr>
                <w:sz w:val="20"/>
              </w:rPr>
            </w:r>
            <w:r>
              <w:rPr>
                <w:sz w:val="20"/>
              </w:rPr>
              <w:t>2,459</w:t>
            </w:r>
          </w:p>
        </w:tc>
        <w:tc>
          <w:tcPr>
            <w:tcW w:type="dxa" w:w="1440"/>
          </w:tcPr>
          <w:p>
            <w:pPr>
              <w:spacing w:line="240" w:lineRule="auto" w:after="40"/>
            </w:pPr>
            <w:r>
              <w:rPr>
                <w:sz w:val="20"/>
              </w:rPr>
            </w:r>
            <w:r>
              <w:rPr>
                <w:sz w:val="20"/>
              </w:rPr>
              <w:t>0.957</w:t>
            </w:r>
          </w:p>
        </w:tc>
        <w:tc>
          <w:tcPr>
            <w:tcW w:type="dxa" w:w="1440"/>
          </w:tcPr>
          <w:p>
            <w:pPr>
              <w:spacing w:line="240" w:lineRule="auto" w:after="40"/>
            </w:pPr>
            <w:r>
              <w:rPr>
                <w:sz w:val="20"/>
              </w:rPr>
            </w:r>
            <w:r>
              <w:rPr>
                <w:sz w:val="20"/>
              </w:rPr>
              <w:t>16.5%</w:t>
            </w:r>
          </w:p>
        </w:tc>
        <w:tc>
          <w:tcPr>
            <w:tcW w:type="dxa" w:w="1440"/>
          </w:tcPr>
          <w:p>
            <w:pPr>
              <w:spacing w:line="240" w:lineRule="auto" w:after="40"/>
            </w:pPr>
            <w:r>
              <w:rPr>
                <w:sz w:val="20"/>
              </w:rPr>
            </w:r>
            <w:r>
              <w:rPr>
                <w:sz w:val="20"/>
              </w:rPr>
              <w:t>47.7%</w:t>
            </w:r>
          </w:p>
        </w:tc>
      </w:tr>
      <w:tr>
        <w:tc>
          <w:tcPr>
            <w:tcW w:type="dxa" w:w="1440"/>
          </w:tcPr>
          <w:p>
            <w:pPr>
              <w:spacing w:line="240" w:lineRule="auto" w:after="40"/>
            </w:pPr>
            <w:r>
              <w:rPr>
                <w:sz w:val="20"/>
              </w:rPr>
            </w:r>
            <w:r>
              <w:rPr>
                <w:sz w:val="20"/>
              </w:rPr>
              <w:t>MLP</w:t>
            </w:r>
          </w:p>
        </w:tc>
        <w:tc>
          <w:tcPr>
            <w:tcW w:type="dxa" w:w="1440"/>
          </w:tcPr>
          <w:p>
            <w:pPr>
              <w:spacing w:line="240" w:lineRule="auto" w:after="40"/>
            </w:pPr>
            <w:r>
              <w:rPr>
                <w:sz w:val="20"/>
              </w:rPr>
            </w:r>
            <w:r>
              <w:rPr>
                <w:sz w:val="20"/>
              </w:rPr>
              <w:t>Pressure extrapolation</w:t>
            </w:r>
          </w:p>
        </w:tc>
        <w:tc>
          <w:tcPr>
            <w:tcW w:type="dxa" w:w="1440"/>
          </w:tcPr>
          <w:p>
            <w:pPr>
              <w:spacing w:line="240" w:lineRule="auto" w:after="40"/>
            </w:pPr>
            <w:r>
              <w:rPr>
                <w:sz w:val="20"/>
              </w:rPr>
            </w:r>
            <w:r>
              <w:rPr>
                <w:sz w:val="20"/>
              </w:rPr>
              <w:t>13,748</w:t>
            </w:r>
          </w:p>
        </w:tc>
        <w:tc>
          <w:tcPr>
            <w:tcW w:type="dxa" w:w="1440"/>
          </w:tcPr>
          <w:p>
            <w:pPr>
              <w:spacing w:line="240" w:lineRule="auto" w:after="40"/>
            </w:pPr>
            <w:r>
              <w:rPr>
                <w:sz w:val="20"/>
              </w:rPr>
            </w:r>
            <w:r>
              <w:rPr>
                <w:sz w:val="20"/>
              </w:rPr>
              <w:t>0.838</w:t>
            </w:r>
          </w:p>
        </w:tc>
        <w:tc>
          <w:tcPr>
            <w:tcW w:type="dxa" w:w="1440"/>
          </w:tcPr>
          <w:p>
            <w:pPr>
              <w:spacing w:line="240" w:lineRule="auto" w:after="40"/>
            </w:pPr>
            <w:r>
              <w:rPr>
                <w:sz w:val="20"/>
              </w:rPr>
            </w:r>
            <w:r>
              <w:rPr>
                <w:sz w:val="20"/>
              </w:rPr>
              <w:t>44.6%</w:t>
            </w:r>
          </w:p>
        </w:tc>
        <w:tc>
          <w:tcPr>
            <w:tcW w:type="dxa" w:w="1440"/>
          </w:tcPr>
          <w:p>
            <w:pPr>
              <w:spacing w:line="240" w:lineRule="auto" w:after="40"/>
            </w:pPr>
            <w:r>
              <w:rPr>
                <w:sz w:val="20"/>
              </w:rPr>
            </w:r>
            <w:r>
              <w:rPr>
                <w:sz w:val="20"/>
              </w:rPr>
              <w:t>25.8%</w:t>
            </w:r>
          </w:p>
        </w:tc>
      </w:tr>
      <w:tr>
        <w:tc>
          <w:tcPr>
            <w:tcW w:type="dxa" w:w="1440"/>
          </w:tcPr>
          <w:p>
            <w:pPr>
              <w:spacing w:line="240" w:lineRule="auto" w:after="40"/>
            </w:pPr>
            <w:r>
              <w:rPr>
                <w:sz w:val="20"/>
              </w:rPr>
            </w:r>
            <w:r>
              <w:rPr>
                <w:sz w:val="20"/>
              </w:rPr>
              <w:t>Transformer</w:t>
            </w:r>
          </w:p>
        </w:tc>
        <w:tc>
          <w:tcPr>
            <w:tcW w:type="dxa" w:w="1440"/>
          </w:tcPr>
          <w:p>
            <w:pPr>
              <w:spacing w:line="240" w:lineRule="auto" w:after="40"/>
            </w:pPr>
            <w:r>
              <w:rPr>
                <w:sz w:val="20"/>
              </w:rPr>
            </w:r>
            <w:r>
              <w:rPr>
                <w:sz w:val="20"/>
              </w:rPr>
              <w:t>Pressure extrapolation</w:t>
            </w:r>
          </w:p>
        </w:tc>
        <w:tc>
          <w:tcPr>
            <w:tcW w:type="dxa" w:w="1440"/>
          </w:tcPr>
          <w:p>
            <w:pPr>
              <w:spacing w:line="240" w:lineRule="auto" w:after="40"/>
            </w:pPr>
            <w:r>
              <w:rPr>
                <w:sz w:val="20"/>
              </w:rPr>
            </w:r>
            <w:r>
              <w:rPr>
                <w:sz w:val="20"/>
              </w:rPr>
              <w:t>13,748</w:t>
            </w:r>
          </w:p>
        </w:tc>
        <w:tc>
          <w:tcPr>
            <w:tcW w:type="dxa" w:w="1440"/>
          </w:tcPr>
          <w:p>
            <w:pPr>
              <w:spacing w:line="240" w:lineRule="auto" w:after="40"/>
            </w:pPr>
            <w:r>
              <w:rPr>
                <w:sz w:val="20"/>
              </w:rPr>
            </w:r>
            <w:r>
              <w:rPr>
                <w:sz w:val="20"/>
              </w:rPr>
              <w:t>0.844</w:t>
            </w:r>
          </w:p>
        </w:tc>
        <w:tc>
          <w:tcPr>
            <w:tcW w:type="dxa" w:w="1440"/>
          </w:tcPr>
          <w:p>
            <w:pPr>
              <w:spacing w:line="240" w:lineRule="auto" w:after="40"/>
            </w:pPr>
            <w:r>
              <w:rPr>
                <w:sz w:val="20"/>
              </w:rPr>
            </w:r>
            <w:r>
              <w:rPr>
                <w:sz w:val="20"/>
              </w:rPr>
              <w:t>49.5%</w:t>
            </w:r>
          </w:p>
        </w:tc>
        <w:tc>
          <w:tcPr>
            <w:tcW w:type="dxa" w:w="1440"/>
          </w:tcPr>
          <w:p>
            <w:pPr>
              <w:spacing w:line="240" w:lineRule="auto" w:after="40"/>
            </w:pPr>
            <w:r>
              <w:rPr>
                <w:sz w:val="20"/>
              </w:rPr>
            </w:r>
            <w:r>
              <w:rPr>
                <w:sz w:val="20"/>
              </w:rPr>
              <w:t>20.2%</w:t>
            </w:r>
          </w:p>
        </w:tc>
      </w:tr>
    </w:tbl>
    <w:p/>
    <w:p>
      <w:pPr>
        <w:jc w:val="both"/>
      </w:pPr>
      <w:r>
        <w:t>Extrapolation trains only on pressures at or below 8 MPa and tests entirely above it. The transformer's advantage over the MLP is marginal at roughly 30 times the training cost.</w:t>
      </w:r>
    </w:p>
    <w:p>
      <w:pPr>
        <w:pStyle w:val="Heading3"/>
      </w:pPr>
      <w:r>
        <w:rPr>
          <w:rFonts w:ascii="Times New Roman" w:hAnsi="Times New Roman"/>
          <w:color w:val="000000"/>
        </w:rPr>
        <w:t>11.1 Fine-tuning against training from scratch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40" w:lineRule="auto" w:after="40"/>
            </w:pPr>
            <w:r>
              <w:rPr>
                <w:b/>
                <w:sz w:val="20"/>
              </w:rPr>
            </w:r>
            <w:r>
              <w:rPr>
                <w:b/>
                <w:sz w:val="20"/>
              </w:rPr>
              <w:t>Target domain</w:t>
            </w:r>
          </w:p>
        </w:tc>
        <w:tc>
          <w:tcPr>
            <w:tcW w:type="dxa" w:w="1728"/>
          </w:tcPr>
          <w:p>
            <w:pPr>
              <w:spacing w:line="240" w:lineRule="auto" w:after="40"/>
            </w:pPr>
            <w:r>
              <w:rPr>
                <w:b/>
                <w:sz w:val="20"/>
              </w:rPr>
            </w:r>
            <w:r>
              <w:rPr>
                <w:b/>
                <w:sz w:val="20"/>
              </w:rPr>
              <w:t>n</w:t>
            </w:r>
          </w:p>
        </w:tc>
        <w:tc>
          <w:tcPr>
            <w:tcW w:type="dxa" w:w="1728"/>
          </w:tcPr>
          <w:p>
            <w:pPr>
              <w:spacing w:line="240" w:lineRule="auto" w:after="40"/>
            </w:pPr>
            <w:r>
              <w:rPr>
                <w:b/>
                <w:sz w:val="20"/>
              </w:rPr>
            </w:r>
            <w:r>
              <w:rPr>
                <w:b/>
                <w:sz w:val="20"/>
              </w:rPr>
              <w:t>Pretrained and fine-tuned</w:t>
            </w:r>
          </w:p>
        </w:tc>
        <w:tc>
          <w:tcPr>
            <w:tcW w:type="dxa" w:w="1728"/>
          </w:tcPr>
          <w:p>
            <w:pPr>
              <w:spacing w:line="240" w:lineRule="auto" w:after="40"/>
            </w:pPr>
            <w:r>
              <w:rPr>
                <w:b/>
                <w:sz w:val="20"/>
              </w:rPr>
            </w:r>
            <w:r>
              <w:rPr>
                <w:b/>
                <w:sz w:val="20"/>
              </w:rPr>
              <w:t>From scratch</w:t>
            </w:r>
          </w:p>
        </w:tc>
        <w:tc>
          <w:tcPr>
            <w:tcW w:type="dxa" w:w="1728"/>
          </w:tcPr>
          <w:p>
            <w:pPr>
              <w:spacing w:line="240" w:lineRule="auto" w:after="40"/>
            </w:pPr>
            <w:r>
              <w:rPr>
                <w:b/>
                <w:sz w:val="20"/>
              </w:rPr>
            </w:r>
            <w:r>
              <w:rPr>
                <w:b/>
                <w:sz w:val="20"/>
              </w:rPr>
              <w:t>Benefit of pretraining</w:t>
            </w:r>
          </w:p>
        </w:tc>
      </w:tr>
      <w:tr>
        <w:tc>
          <w:tcPr>
            <w:tcW w:type="dxa" w:w="1728"/>
          </w:tcPr>
          <w:p>
            <w:pPr>
              <w:spacing w:line="240" w:lineRule="auto" w:after="40"/>
            </w:pPr>
            <w:r>
              <w:rPr>
                <w:sz w:val="20"/>
              </w:rPr>
            </w:r>
            <w:r>
              <w:rPr>
                <w:sz w:val="20"/>
              </w:rPr>
              <w:t>Hardik 2016 coils, R-123 (transformer)</w:t>
            </w:r>
          </w:p>
        </w:tc>
        <w:tc>
          <w:tcPr>
            <w:tcW w:type="dxa" w:w="1728"/>
          </w:tcPr>
          <w:p>
            <w:pPr>
              <w:spacing w:line="240" w:lineRule="auto" w:after="40"/>
            </w:pPr>
            <w:r>
              <w:rPr>
                <w:sz w:val="20"/>
              </w:rPr>
            </w:r>
            <w:r>
              <w:rPr>
                <w:sz w:val="20"/>
              </w:rPr>
              <w:t>31</w:t>
            </w:r>
          </w:p>
        </w:tc>
        <w:tc>
          <w:tcPr>
            <w:tcW w:type="dxa" w:w="1728"/>
          </w:tcPr>
          <w:p>
            <w:pPr>
              <w:spacing w:line="240" w:lineRule="auto" w:after="40"/>
            </w:pPr>
            <w:r>
              <w:rPr>
                <w:sz w:val="20"/>
              </w:rPr>
            </w:r>
            <w:r>
              <w:rPr>
                <w:sz w:val="20"/>
              </w:rPr>
              <w:t>0.748</w:t>
            </w:r>
          </w:p>
        </w:tc>
        <w:tc>
          <w:tcPr>
            <w:tcW w:type="dxa" w:w="1728"/>
          </w:tcPr>
          <w:p>
            <w:pPr>
              <w:spacing w:line="240" w:lineRule="auto" w:after="40"/>
            </w:pPr>
            <w:r>
              <w:rPr>
                <w:sz w:val="20"/>
              </w:rPr>
            </w:r>
            <w:r>
              <w:rPr>
                <w:sz w:val="20"/>
              </w:rPr>
              <w:t>0.671</w:t>
            </w:r>
          </w:p>
        </w:tc>
        <w:tc>
          <w:tcPr>
            <w:tcW w:type="dxa" w:w="1728"/>
          </w:tcPr>
          <w:p>
            <w:pPr>
              <w:spacing w:line="240" w:lineRule="auto" w:after="40"/>
            </w:pPr>
            <w:r>
              <w:rPr>
                <w:sz w:val="20"/>
              </w:rPr>
            </w:r>
            <w:r>
              <w:rPr>
                <w:sz w:val="20"/>
              </w:rPr>
              <w:t>positive</w:t>
            </w:r>
          </w:p>
        </w:tc>
      </w:tr>
      <w:tr>
        <w:tc>
          <w:tcPr>
            <w:tcW w:type="dxa" w:w="1728"/>
          </w:tcPr>
          <w:p>
            <w:pPr>
              <w:spacing w:line="240" w:lineRule="auto" w:after="40"/>
            </w:pPr>
            <w:r>
              <w:rPr>
                <w:sz w:val="20"/>
              </w:rPr>
            </w:r>
            <w:r>
              <w:rPr>
                <w:sz w:val="20"/>
              </w:rPr>
              <w:t>Hardik 2017 tubes, R-123 (transformer)</w:t>
            </w:r>
          </w:p>
        </w:tc>
        <w:tc>
          <w:tcPr>
            <w:tcW w:type="dxa" w:w="1728"/>
          </w:tcPr>
          <w:p>
            <w:pPr>
              <w:spacing w:line="240" w:lineRule="auto" w:after="40"/>
            </w:pPr>
            <w:r>
              <w:rPr>
                <w:sz w:val="20"/>
              </w:rPr>
            </w:r>
            <w:r>
              <w:rPr>
                <w:sz w:val="20"/>
              </w:rPr>
              <w:t>11</w:t>
            </w:r>
          </w:p>
        </w:tc>
        <w:tc>
          <w:tcPr>
            <w:tcW w:type="dxa" w:w="1728"/>
          </w:tcPr>
          <w:p>
            <w:pPr>
              <w:spacing w:line="240" w:lineRule="auto" w:after="40"/>
            </w:pPr>
            <w:r>
              <w:rPr>
                <w:sz w:val="20"/>
              </w:rPr>
            </w:r>
            <w:r>
              <w:rPr>
                <w:sz w:val="20"/>
              </w:rPr>
              <w:t>-0.053</w:t>
            </w:r>
          </w:p>
        </w:tc>
        <w:tc>
          <w:tcPr>
            <w:tcW w:type="dxa" w:w="1728"/>
          </w:tcPr>
          <w:p>
            <w:pPr>
              <w:spacing w:line="240" w:lineRule="auto" w:after="40"/>
            </w:pPr>
            <w:r>
              <w:rPr>
                <w:sz w:val="20"/>
              </w:rPr>
            </w:r>
            <w:r>
              <w:rPr>
                <w:sz w:val="20"/>
              </w:rPr>
              <w:t>-1.143</w:t>
            </w:r>
          </w:p>
        </w:tc>
        <w:tc>
          <w:tcPr>
            <w:tcW w:type="dxa" w:w="1728"/>
          </w:tcPr>
          <w:p>
            <w:pPr>
              <w:spacing w:line="240" w:lineRule="auto" w:after="40"/>
            </w:pPr>
            <w:r>
              <w:rPr>
                <w:sz w:val="20"/>
              </w:rPr>
            </w:r>
            <w:r>
              <w:rPr>
                <w:sz w:val="20"/>
              </w:rPr>
              <w:t>positive</w:t>
            </w:r>
          </w:p>
        </w:tc>
      </w:tr>
      <w:tr>
        <w:tc>
          <w:tcPr>
            <w:tcW w:type="dxa" w:w="1728"/>
          </w:tcPr>
          <w:p>
            <w:pPr>
              <w:spacing w:line="240" w:lineRule="auto" w:after="40"/>
            </w:pPr>
            <w:r>
              <w:rPr>
                <w:sz w:val="20"/>
              </w:rPr>
            </w:r>
            <w:r>
              <w:rPr>
                <w:sz w:val="20"/>
              </w:rPr>
              <w:t>Hardik 2016 coils, R-123 (MLP)</w:t>
            </w:r>
          </w:p>
        </w:tc>
        <w:tc>
          <w:tcPr>
            <w:tcW w:type="dxa" w:w="1728"/>
          </w:tcPr>
          <w:p>
            <w:pPr>
              <w:spacing w:line="240" w:lineRule="auto" w:after="40"/>
            </w:pPr>
            <w:r>
              <w:rPr>
                <w:sz w:val="20"/>
              </w:rPr>
            </w:r>
            <w:r>
              <w:rPr>
                <w:sz w:val="20"/>
              </w:rPr>
              <w:t>31</w:t>
            </w:r>
          </w:p>
        </w:tc>
        <w:tc>
          <w:tcPr>
            <w:tcW w:type="dxa" w:w="1728"/>
          </w:tcPr>
          <w:p>
            <w:pPr>
              <w:spacing w:line="240" w:lineRule="auto" w:after="40"/>
            </w:pPr>
            <w:r>
              <w:rPr>
                <w:sz w:val="20"/>
              </w:rPr>
            </w:r>
            <w:r>
              <w:rPr>
                <w:sz w:val="20"/>
              </w:rPr>
              <w:t>0.562</w:t>
            </w:r>
          </w:p>
        </w:tc>
        <w:tc>
          <w:tcPr>
            <w:tcW w:type="dxa" w:w="1728"/>
          </w:tcPr>
          <w:p>
            <w:pPr>
              <w:spacing w:line="240" w:lineRule="auto" w:after="40"/>
            </w:pPr>
            <w:r>
              <w:rPr>
                <w:sz w:val="20"/>
              </w:rPr>
            </w:r>
            <w:r>
              <w:rPr>
                <w:sz w:val="20"/>
              </w:rPr>
              <w:t>0.633</w:t>
            </w:r>
          </w:p>
        </w:tc>
        <w:tc>
          <w:tcPr>
            <w:tcW w:type="dxa" w:w="1728"/>
          </w:tcPr>
          <w:p>
            <w:pPr>
              <w:spacing w:line="240" w:lineRule="auto" w:after="40"/>
            </w:pPr>
            <w:r>
              <w:rPr>
                <w:sz w:val="20"/>
              </w:rPr>
            </w:r>
            <w:r>
              <w:rPr>
                <w:sz w:val="20"/>
              </w:rPr>
              <w:t>negative</w:t>
            </w:r>
          </w:p>
        </w:tc>
      </w:tr>
      <w:tr>
        <w:tc>
          <w:tcPr>
            <w:tcW w:type="dxa" w:w="1728"/>
          </w:tcPr>
          <w:p>
            <w:pPr>
              <w:spacing w:line="240" w:lineRule="auto" w:after="40"/>
            </w:pPr>
            <w:r>
              <w:rPr>
                <w:sz w:val="20"/>
              </w:rPr>
            </w:r>
            <w:r>
              <w:rPr>
                <w:sz w:val="20"/>
              </w:rPr>
              <w:t>KAERI uniform, water (MLP)</w:t>
            </w:r>
          </w:p>
        </w:tc>
        <w:tc>
          <w:tcPr>
            <w:tcW w:type="dxa" w:w="1728"/>
          </w:tcPr>
          <w:p>
            <w:pPr>
              <w:spacing w:line="240" w:lineRule="auto" w:after="40"/>
            </w:pPr>
            <w:r>
              <w:rPr>
                <w:sz w:val="20"/>
              </w:rPr>
            </w:r>
            <w:r>
              <w:rPr>
                <w:sz w:val="20"/>
              </w:rPr>
              <w:t>130</w:t>
            </w:r>
          </w:p>
        </w:tc>
        <w:tc>
          <w:tcPr>
            <w:tcW w:type="dxa" w:w="1728"/>
          </w:tcPr>
          <w:p>
            <w:pPr>
              <w:spacing w:line="240" w:lineRule="auto" w:after="40"/>
            </w:pPr>
            <w:r>
              <w:rPr>
                <w:sz w:val="20"/>
              </w:rPr>
            </w:r>
            <w:r>
              <w:rPr>
                <w:sz w:val="20"/>
              </w:rPr>
              <w:t>0.908</w:t>
            </w:r>
          </w:p>
        </w:tc>
        <w:tc>
          <w:tcPr>
            <w:tcW w:type="dxa" w:w="1728"/>
          </w:tcPr>
          <w:p>
            <w:pPr>
              <w:spacing w:line="240" w:lineRule="auto" w:after="40"/>
            </w:pPr>
            <w:r>
              <w:rPr>
                <w:sz w:val="20"/>
              </w:rPr>
            </w:r>
            <w:r>
              <w:rPr>
                <w:sz w:val="20"/>
              </w:rPr>
              <w:t>—</w:t>
            </w:r>
          </w:p>
        </w:tc>
        <w:tc>
          <w:tcPr>
            <w:tcW w:type="dxa" w:w="1728"/>
          </w:tcPr>
          <w:p>
            <w:pPr>
              <w:spacing w:line="240" w:lineRule="auto" w:after="40"/>
            </w:pPr>
            <w:r>
              <w:rPr>
                <w:sz w:val="20"/>
              </w:rPr>
            </w:r>
            <w:r>
              <w:rPr>
                <w:sz w:val="20"/>
              </w:rPr>
              <w:t>—</w:t>
            </w:r>
          </w:p>
        </w:tc>
      </w:tr>
      <w:tr>
        <w:tc>
          <w:tcPr>
            <w:tcW w:type="dxa" w:w="1728"/>
          </w:tcPr>
          <w:p>
            <w:pPr>
              <w:spacing w:line="240" w:lineRule="auto" w:after="40"/>
            </w:pPr>
            <w:r>
              <w:rPr>
                <w:sz w:val="20"/>
              </w:rPr>
            </w:r>
            <w:r>
              <w:rPr>
                <w:sz w:val="20"/>
              </w:rPr>
              <w:t>Pool boiling (transformer)</w:t>
            </w:r>
          </w:p>
        </w:tc>
        <w:tc>
          <w:tcPr>
            <w:tcW w:type="dxa" w:w="1728"/>
          </w:tcPr>
          <w:p>
            <w:pPr>
              <w:spacing w:line="240" w:lineRule="auto" w:after="40"/>
            </w:pPr>
            <w:r>
              <w:rPr>
                <w:sz w:val="20"/>
              </w:rPr>
            </w:r>
            <w:r>
              <w:rPr>
                <w:sz w:val="20"/>
              </w:rPr>
              <w:t>11</w:t>
            </w:r>
          </w:p>
        </w:tc>
        <w:tc>
          <w:tcPr>
            <w:tcW w:type="dxa" w:w="1728"/>
          </w:tcPr>
          <w:p>
            <w:pPr>
              <w:spacing w:line="240" w:lineRule="auto" w:after="40"/>
            </w:pPr>
            <w:r>
              <w:rPr>
                <w:sz w:val="20"/>
              </w:rPr>
            </w:r>
            <w:r>
              <w:rPr>
                <w:sz w:val="20"/>
              </w:rPr>
              <w:t>0.775</w:t>
            </w:r>
          </w:p>
        </w:tc>
        <w:tc>
          <w:tcPr>
            <w:tcW w:type="dxa" w:w="1728"/>
          </w:tcPr>
          <w:p>
            <w:pPr>
              <w:spacing w:line="240" w:lineRule="auto" w:after="40"/>
            </w:pPr>
            <w:r>
              <w:rPr>
                <w:sz w:val="20"/>
              </w:rPr>
            </w:r>
            <w:r>
              <w:rPr>
                <w:sz w:val="20"/>
              </w:rPr>
              <w:t>0.774</w:t>
            </w:r>
          </w:p>
        </w:tc>
        <w:tc>
          <w:tcPr>
            <w:tcW w:type="dxa" w:w="1728"/>
          </w:tcPr>
          <w:p>
            <w:pPr>
              <w:spacing w:line="240" w:lineRule="auto" w:after="40"/>
            </w:pPr>
            <w:r>
              <w:rPr>
                <w:sz w:val="20"/>
              </w:rPr>
            </w:r>
            <w:r>
              <w:rPr>
                <w:sz w:val="20"/>
              </w:rPr>
              <w:t>negligible</w:t>
            </w:r>
          </w:p>
        </w:tc>
      </w:tr>
    </w:tbl>
    <w:p/>
    <w:p>
      <w:pPr>
        <w:jc w:val="both"/>
      </w:pPr>
      <w:r>
        <w:rPr>
          <w:b/>
        </w:rPr>
        <w:t>Caveats on this phase.</w:t>
      </w:r>
      <w:r>
        <w:t xml:space="preserve"> Stage-1 scores are measured on synthetic data drawn from the same corpus used for pretraining, so they quantify the ability to interpolate a smooth table rather than to generalise. The pool-boiling comparison rests on eleven test rows, where R2 is highly unstable. On that set, pretraining on 300,000 synthetic rows improved the transformer by 0.001 over training from scratch; the transfer hypothesis is not supported there, though it does hold on the two refrigerant domains.</w:t>
      </w:r>
    </w:p>
    <w:p>
      <w:pPr>
        <w:jc w:val="center"/>
      </w:pPr>
      <w:r>
        <w:rPr>
          <w:sz w:val="20"/>
        </w:rPr>
        <w:t>• • •</w:t>
      </w:r>
    </w:p>
    <w:p>
      <w:pPr>
        <w:pStyle w:val="Heading2"/>
      </w:pPr>
      <w:r>
        <w:rPr>
          <w:rFonts w:ascii="Times New Roman" w:hAnsi="Times New Roman"/>
          <w:color w:val="000000"/>
        </w:rPr>
        <w:t>12. Verification and quality control</w:t>
      </w:r>
    </w:p>
    <w:p>
      <w:pPr>
        <w:jc w:val="both"/>
      </w:pPr>
      <w:r>
        <w:t>An independent adversarial audit was commissioned against the analysis pipeline, instructed to write its own verification code rather than trust the existing scripts. It reproduced the headline result exactly (-0.0735 against a reported -0.073) and identified six defects, all since corrected.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after="40"/>
            </w:pPr>
            <w:r>
              <w:rPr>
                <w:b/>
                <w:sz w:val="20"/>
              </w:rPr>
            </w:r>
            <w:r>
              <w:rPr>
                <w:b/>
                <w:sz w:val="20"/>
              </w:rPr>
              <w:t>Defect</w:t>
            </w:r>
          </w:p>
        </w:tc>
        <w:tc>
          <w:tcPr>
            <w:tcW w:type="dxa" w:w="2160"/>
          </w:tcPr>
          <w:p>
            <w:pPr>
              <w:spacing w:line="240" w:lineRule="auto" w:after="40"/>
            </w:pPr>
            <w:r>
              <w:rPr>
                <w:b/>
                <w:sz w:val="20"/>
              </w:rPr>
            </w:r>
            <w:r>
              <w:rPr>
                <w:b/>
                <w:sz w:val="20"/>
              </w:rPr>
              <w:t>Severity</w:t>
            </w:r>
          </w:p>
        </w:tc>
        <w:tc>
          <w:tcPr>
            <w:tcW w:type="dxa" w:w="2160"/>
          </w:tcPr>
          <w:p>
            <w:pPr>
              <w:spacing w:line="240" w:lineRule="auto" w:after="40"/>
            </w:pPr>
            <w:r>
              <w:rPr>
                <w:b/>
                <w:sz w:val="20"/>
              </w:rPr>
            </w:r>
            <w:r>
              <w:rPr>
                <w:b/>
                <w:sz w:val="20"/>
              </w:rPr>
              <w:t>Effect if uncorrected</w:t>
            </w:r>
          </w:p>
        </w:tc>
        <w:tc>
          <w:tcPr>
            <w:tcW w:type="dxa" w:w="2160"/>
          </w:tcPr>
          <w:p>
            <w:pPr>
              <w:spacing w:line="240" w:lineRule="auto" w:after="40"/>
            </w:pPr>
            <w:r>
              <w:rPr>
                <w:b/>
                <w:sz w:val="20"/>
              </w:rPr>
            </w:r>
            <w:r>
              <w:rPr>
                <w:b/>
                <w:sz w:val="20"/>
              </w:rPr>
              <w:t>Status</w:t>
            </w:r>
          </w:p>
        </w:tc>
      </w:tr>
      <w:tr>
        <w:tc>
          <w:tcPr>
            <w:tcW w:type="dxa" w:w="2160"/>
          </w:tcPr>
          <w:p>
            <w:pPr>
              <w:spacing w:line="240" w:lineRule="auto" w:after="40"/>
            </w:pPr>
            <w:r>
              <w:rPr>
                <w:sz w:val="20"/>
              </w:rPr>
            </w:r>
            <w:r>
              <w:rPr>
                <w:sz w:val="20"/>
              </w:rPr>
              <w:t>KAERI units read as kPa and kW/m2 instead of Pa and W/m2</w:t>
            </w:r>
          </w:p>
        </w:tc>
        <w:tc>
          <w:tcPr>
            <w:tcW w:type="dxa" w:w="2160"/>
          </w:tcPr>
          <w:p>
            <w:pPr>
              <w:spacing w:line="240" w:lineRule="auto" w:after="40"/>
            </w:pPr>
            <w:r>
              <w:rPr>
                <w:sz w:val="20"/>
              </w:rPr>
            </w:r>
            <w:r>
              <w:rPr>
                <w:sz w:val="20"/>
              </w:rPr>
              <w:t>Critical</w:t>
            </w:r>
          </w:p>
        </w:tc>
        <w:tc>
          <w:tcPr>
            <w:tcW w:type="dxa" w:w="2160"/>
          </w:tcPr>
          <w:p>
            <w:pPr>
              <w:spacing w:line="240" w:lineRule="auto" w:after="40"/>
            </w:pPr>
            <w:r>
              <w:rPr>
                <w:sz w:val="20"/>
              </w:rPr>
            </w:r>
            <w:r>
              <w:rPr>
                <w:sz w:val="20"/>
              </w:rPr>
              <w:t>Merged R2 overstated at 0.972 against a true 0.897; a reported condition-wise result of -18.0 was a pure artefact of the 1000x offset</w:t>
            </w:r>
          </w:p>
        </w:tc>
        <w:tc>
          <w:tcPr>
            <w:tcW w:type="dxa" w:w="2160"/>
          </w:tcPr>
          <w:p>
            <w:pPr>
              <w:spacing w:line="240" w:lineRule="auto" w:after="40"/>
            </w:pPr>
            <w:r>
              <w:rPr>
                <w:sz w:val="20"/>
              </w:rPr>
            </w:r>
            <w:r>
              <w:rPr>
                <w:sz w:val="20"/>
              </w:rPr>
              <w:t>Fixed; plausibility assertions added</w:t>
            </w:r>
          </w:p>
        </w:tc>
      </w:tr>
      <w:tr>
        <w:tc>
          <w:tcPr>
            <w:tcW w:type="dxa" w:w="2160"/>
          </w:tcPr>
          <w:p>
            <w:pPr>
              <w:spacing w:line="240" w:lineRule="auto" w:after="40"/>
            </w:pPr>
            <w:r>
              <w:rPr>
                <w:sz w:val="20"/>
              </w:rPr>
            </w:r>
            <w:r>
              <w:rPr>
                <w:sz w:val="20"/>
              </w:rPr>
              <w:t>Energy-balance recoverability in the NRC feature set</w:t>
            </w:r>
          </w:p>
        </w:tc>
        <w:tc>
          <w:tcPr>
            <w:tcW w:type="dxa" w:w="2160"/>
          </w:tcPr>
          <w:p>
            <w:pPr>
              <w:spacing w:line="240" w:lineRule="auto" w:after="40"/>
            </w:pPr>
            <w:r>
              <w:rPr>
                <w:sz w:val="20"/>
              </w:rPr>
            </w:r>
            <w:r>
              <w:rPr>
                <w:sz w:val="20"/>
              </w:rPr>
              <w:t>Major</w:t>
            </w:r>
          </w:p>
        </w:tc>
        <w:tc>
          <w:tcPr>
            <w:tcW w:type="dxa" w:w="2160"/>
          </w:tcPr>
          <w:p>
            <w:pPr>
              <w:spacing w:line="240" w:lineRule="auto" w:after="40"/>
            </w:pPr>
            <w:r>
              <w:rPr>
                <w:sz w:val="20"/>
              </w:rPr>
            </w:r>
            <w:r>
              <w:rPr>
                <w:sz w:val="20"/>
              </w:rPr>
              <w:t>CHF reconstructible from inputs at R2 0.9998 with no fitting, since quality is itself computed from CHF</w:t>
            </w:r>
          </w:p>
        </w:tc>
        <w:tc>
          <w:tcPr>
            <w:tcW w:type="dxa" w:w="2160"/>
          </w:tcPr>
          <w:p>
            <w:pPr>
              <w:spacing w:line="240" w:lineRule="auto" w:after="40"/>
            </w:pPr>
            <w:r>
              <w:rPr>
                <w:sz w:val="20"/>
              </w:rPr>
            </w:r>
            <w:r>
              <w:rPr>
                <w:sz w:val="20"/>
              </w:rPr>
              <w:t>Ablation added; local and inlet formulations now reported separately</w:t>
            </w:r>
          </w:p>
        </w:tc>
      </w:tr>
      <w:tr>
        <w:tc>
          <w:tcPr>
            <w:tcW w:type="dxa" w:w="2160"/>
          </w:tcPr>
          <w:p>
            <w:pPr>
              <w:spacing w:line="240" w:lineRule="auto" w:after="40"/>
            </w:pPr>
            <w:r>
              <w:rPr>
                <w:sz w:val="20"/>
              </w:rPr>
            </w:r>
            <w:r>
              <w:rPr>
                <w:sz w:val="20"/>
              </w:rPr>
              <w:t>Two split definitions mislabelled</w:t>
            </w:r>
          </w:p>
        </w:tc>
        <w:tc>
          <w:tcPr>
            <w:tcW w:type="dxa" w:w="2160"/>
          </w:tcPr>
          <w:p>
            <w:pPr>
              <w:spacing w:line="240" w:lineRule="auto" w:after="40"/>
            </w:pPr>
            <w:r>
              <w:rPr>
                <w:sz w:val="20"/>
              </w:rPr>
            </w:r>
            <w:r>
              <w:rPr>
                <w:sz w:val="20"/>
              </w:rPr>
              <w:t>Major</w:t>
            </w:r>
          </w:p>
        </w:tc>
        <w:tc>
          <w:tcPr>
            <w:tcW w:type="dxa" w:w="2160"/>
          </w:tcPr>
          <w:p>
            <w:pPr>
              <w:spacing w:line="240" w:lineRule="auto" w:after="40"/>
            </w:pPr>
            <w:r>
              <w:rPr>
                <w:sz w:val="20"/>
              </w:rPr>
            </w:r>
            <w:r>
              <w:rPr>
                <w:sz w:val="20"/>
              </w:rPr>
              <w:t>A surface-wise split was mathematically identical to a random split; a condition-wise split was a single-laboratory holdout</w:t>
            </w:r>
          </w:p>
        </w:tc>
        <w:tc>
          <w:tcPr>
            <w:tcW w:type="dxa" w:w="2160"/>
          </w:tcPr>
          <w:p>
            <w:pPr>
              <w:spacing w:line="240" w:lineRule="auto" w:after="40"/>
            </w:pPr>
            <w:r>
              <w:rPr>
                <w:sz w:val="20"/>
              </w:rPr>
            </w:r>
            <w:r>
              <w:rPr>
                <w:sz w:val="20"/>
              </w:rPr>
              <w:t>Automatic degeneracy detection added</w:t>
            </w:r>
          </w:p>
        </w:tc>
      </w:tr>
      <w:tr>
        <w:tc>
          <w:tcPr>
            <w:tcW w:type="dxa" w:w="2160"/>
          </w:tcPr>
          <w:p>
            <w:pPr>
              <w:spacing w:line="240" w:lineRule="auto" w:after="40"/>
            </w:pPr>
            <w:r>
              <w:rPr>
                <w:sz w:val="20"/>
              </w:rPr>
            </w:r>
            <w:r>
              <w:rPr>
                <w:sz w:val="20"/>
              </w:rPr>
              <w:t>Fluid indicator acting as a source proxy</w:t>
            </w:r>
          </w:p>
        </w:tc>
        <w:tc>
          <w:tcPr>
            <w:tcW w:type="dxa" w:w="2160"/>
          </w:tcPr>
          <w:p>
            <w:pPr>
              <w:spacing w:line="240" w:lineRule="auto" w:after="40"/>
            </w:pPr>
            <w:r>
              <w:rPr>
                <w:sz w:val="20"/>
              </w:rPr>
            </w:r>
            <w:r>
              <w:rPr>
                <w:sz w:val="20"/>
              </w:rPr>
              <w:t>Major</w:t>
            </w:r>
          </w:p>
        </w:tc>
        <w:tc>
          <w:tcPr>
            <w:tcW w:type="dxa" w:w="2160"/>
          </w:tcPr>
          <w:p>
            <w:pPr>
              <w:spacing w:line="240" w:lineRule="auto" w:after="40"/>
            </w:pPr>
            <w:r>
              <w:rPr>
                <w:sz w:val="20"/>
              </w:rPr>
            </w:r>
            <w:r>
              <w:rPr>
                <w:sz w:val="20"/>
              </w:rPr>
              <w:t>Pin-fin score of 0.945 fell to 0.620 once the water/FC-72 flag was removed</w:t>
            </w:r>
          </w:p>
        </w:tc>
        <w:tc>
          <w:tcPr>
            <w:tcW w:type="dxa" w:w="2160"/>
          </w:tcPr>
          <w:p>
            <w:pPr>
              <w:spacing w:line="240" w:lineRule="auto" w:after="40"/>
            </w:pPr>
            <w:r>
              <w:rPr>
                <w:sz w:val="20"/>
              </w:rPr>
            </w:r>
            <w:r>
              <w:rPr>
                <w:sz w:val="20"/>
              </w:rPr>
              <w:t>Ablation reported alongside</w:t>
            </w:r>
          </w:p>
        </w:tc>
      </w:tr>
      <w:tr>
        <w:tc>
          <w:tcPr>
            <w:tcW w:type="dxa" w:w="2160"/>
          </w:tcPr>
          <w:p>
            <w:pPr>
              <w:spacing w:line="240" w:lineRule="auto" w:after="40"/>
            </w:pPr>
            <w:r>
              <w:rPr>
                <w:sz w:val="20"/>
              </w:rPr>
            </w:r>
            <w:r>
              <w:rPr>
                <w:sz w:val="20"/>
              </w:rPr>
              <w:t>Grouping variable identifies publications, not laboratories</w:t>
            </w:r>
          </w:p>
        </w:tc>
        <w:tc>
          <w:tcPr>
            <w:tcW w:type="dxa" w:w="2160"/>
          </w:tcPr>
          <w:p>
            <w:pPr>
              <w:spacing w:line="240" w:lineRule="auto" w:after="40"/>
            </w:pPr>
            <w:r>
              <w:rPr>
                <w:sz w:val="20"/>
              </w:rPr>
            </w:r>
            <w:r>
              <w:rPr>
                <w:sz w:val="20"/>
              </w:rPr>
              <w:t>Major</w:t>
            </w:r>
          </w:p>
        </w:tc>
        <w:tc>
          <w:tcPr>
            <w:tcW w:type="dxa" w:w="2160"/>
          </w:tcPr>
          <w:p>
            <w:pPr>
              <w:spacing w:line="240" w:lineRule="auto" w:after="40"/>
            </w:pPr>
            <w:r>
              <w:rPr>
                <w:sz w:val="20"/>
              </w:rPr>
            </w:r>
            <w:r>
              <w:rPr>
                <w:sz w:val="20"/>
              </w:rPr>
              <w:t>Two publication pairs share an author group; two report identical CHF values</w:t>
            </w:r>
          </w:p>
        </w:tc>
        <w:tc>
          <w:tcPr>
            <w:tcW w:type="dxa" w:w="2160"/>
          </w:tcPr>
          <w:p>
            <w:pPr>
              <w:spacing w:line="240" w:lineRule="auto" w:after="40"/>
            </w:pPr>
            <w:r>
              <w:rPr>
                <w:sz w:val="20"/>
              </w:rPr>
            </w:r>
            <w:r>
              <w:rPr>
                <w:sz w:val="20"/>
              </w:rPr>
              <w:t>Terminology corrected throughout</w:t>
            </w:r>
          </w:p>
        </w:tc>
      </w:tr>
      <w:tr>
        <w:tc>
          <w:tcPr>
            <w:tcW w:type="dxa" w:w="2160"/>
          </w:tcPr>
          <w:p>
            <w:pPr>
              <w:spacing w:line="240" w:lineRule="auto" w:after="40"/>
            </w:pPr>
            <w:r>
              <w:rPr>
                <w:sz w:val="20"/>
              </w:rPr>
            </w:r>
            <w:r>
              <w:rPr>
                <w:sz w:val="20"/>
              </w:rPr>
              <w:t>Material-to-effusivity encoding order- and whitespace-dependent</w:t>
            </w:r>
          </w:p>
        </w:tc>
        <w:tc>
          <w:tcPr>
            <w:tcW w:type="dxa" w:w="2160"/>
          </w:tcPr>
          <w:p>
            <w:pPr>
              <w:spacing w:line="240" w:lineRule="auto" w:after="40"/>
            </w:pPr>
            <w:r>
              <w:rPr>
                <w:sz w:val="20"/>
              </w:rPr>
            </w:r>
            <w:r>
              <w:rPr>
                <w:sz w:val="20"/>
              </w:rPr>
              <w:t>Major</w:t>
            </w:r>
          </w:p>
        </w:tc>
        <w:tc>
          <w:tcPr>
            <w:tcW w:type="dxa" w:w="2160"/>
          </w:tcPr>
          <w:p>
            <w:pPr>
              <w:spacing w:line="240" w:lineRule="auto" w:after="40"/>
            </w:pPr>
            <w:r>
              <w:rPr>
                <w:sz w:val="20"/>
              </w:rPr>
            </w:r>
            <w:r>
              <w:rPr>
                <w:sz w:val="20"/>
              </w:rPr>
              <w:t>Coated samples assigned substrate properties; "SS 304" and "SS304" resolved differently, and the error tracked study membership</w:t>
            </w:r>
          </w:p>
        </w:tc>
        <w:tc>
          <w:tcPr>
            <w:tcW w:type="dxa" w:w="2160"/>
          </w:tcPr>
          <w:p>
            <w:pPr>
              <w:spacing w:line="240" w:lineRule="auto" w:after="40"/>
            </w:pPr>
            <w:r>
              <w:rPr>
                <w:sz w:val="20"/>
              </w:rPr>
            </w:r>
            <w:r>
              <w:rPr>
                <w:sz w:val="20"/>
              </w:rPr>
              <w:t>Rewritten; unknowns now return missing rather than a fabricated default</w:t>
            </w:r>
          </w:p>
        </w:tc>
      </w:tr>
    </w:tbl>
    <w:p/>
    <w:p>
      <w:pPr>
        <w:pStyle w:val="Heading3"/>
      </w:pPr>
      <w:r>
        <w:rPr>
          <w:rFonts w:ascii="Times New Roman" w:hAnsi="Times New Roman"/>
          <w:color w:val="000000"/>
        </w:rPr>
        <w:t>12.1 Errors found and corrected internally</w:t>
      </w:r>
    </w:p>
    <w:p>
      <w:pPr>
        <w:pStyle w:val="ListBullet"/>
        <w:spacing w:line="360" w:lineRule="auto"/>
      </w:pPr>
      <w:r>
        <w:rPr>
          <w:b/>
        </w:rPr>
        <w:t>Weber number defined on capillary length instead of heated length</w:t>
      </w:r>
      <w:r>
        <w:t xml:space="preserve"> in the Katto correlation, an approximately 800x error that made the physics baseline appear useless and produced an incorrect early conclusion that physics did not help.</w:t>
      </w:r>
    </w:p>
    <w:p>
      <w:pPr>
        <w:pStyle w:val="ListBullet"/>
        <w:spacing w:line="360" w:lineRule="auto"/>
      </w:pPr>
      <w:r>
        <w:rPr>
          <w:b/>
        </w:rPr>
        <w:t>A fabricated receding-contact-angle conversion factor</w:t>
      </w:r>
      <w:r>
        <w:t xml:space="preserve"> (0.75x) with no literature basis, which degraded results from 44% to 72% error before being removed.</w:t>
      </w:r>
    </w:p>
    <w:p>
      <w:pPr>
        <w:pStyle w:val="ListBullet"/>
        <w:spacing w:line="360" w:lineRule="auto"/>
      </w:pPr>
      <w:r>
        <w:rPr>
          <w:b/>
        </w:rPr>
        <w:t>Fabricated Katto coefficients</w:t>
      </w:r>
      <w:r>
        <w:t xml:space="preserve"> in an early implementation, later replaced with the published form.</w:t>
      </w:r>
    </w:p>
    <w:p>
      <w:pPr>
        <w:pStyle w:val="ListBullet"/>
        <w:spacing w:line="360" w:lineRule="auto"/>
      </w:pPr>
      <w:r>
        <w:rPr>
          <w:b/>
        </w:rPr>
        <w:t>Biasi unit divisor</w:t>
      </w:r>
      <w:r>
        <w:t xml:space="preserve"> of 10,000 instead of 1,000, calibrated empirically against 4,000 training rows to a median ratio of 1.000.</w:t>
      </w:r>
    </w:p>
    <w:p>
      <w:pPr>
        <w:pStyle w:val="ListBullet"/>
        <w:spacing w:line="360" w:lineRule="auto"/>
      </w:pPr>
      <w:r>
        <w:rPr>
          <w:b/>
        </w:rPr>
        <w:t>Row-count discrepancy</w:t>
      </w:r>
      <w:r>
        <w:t xml:space="preserve"> in project documentation, 190 recorded against 175 actual.</w:t>
      </w:r>
    </w:p>
    <w:p>
      <w:pPr>
        <w:jc w:val="both"/>
      </w:pPr>
      <w:r>
        <w:t>Each is recorded because the pattern matters: every one produced plausible-looking numbers that would have survived casual review. The controls now in place — explicit unit declarations, physical plausibility assertions, degeneracy detection, range validation against independently published values, and adversarial audit — exist because these specific failures occurred.</w:t>
      </w:r>
    </w:p>
    <w:p>
      <w:pPr>
        <w:jc w:val="center"/>
      </w:pPr>
      <w:r>
        <w:rPr>
          <w:sz w:val="20"/>
        </w:rPr>
        <w:t>• • •</w:t>
      </w:r>
    </w:p>
    <w:p>
      <w:pPr>
        <w:pStyle w:val="Heading2"/>
      </w:pPr>
      <w:r>
        <w:rPr>
          <w:rFonts w:ascii="Times New Roman" w:hAnsi="Times New Roman"/>
          <w:color w:val="000000"/>
        </w:rPr>
        <w:t>13. Current position</w:t>
      </w:r>
    </w:p>
    <w:p>
      <w:pPr>
        <w:pStyle w:val="Heading3"/>
      </w:pPr>
      <w:r>
        <w:rPr>
          <w:rFonts w:ascii="Times New Roman" w:hAnsi="Times New Roman"/>
          <w:color w:val="000000"/>
        </w:rPr>
        <w:t>13.1 Established findings</w:t>
      </w:r>
    </w:p>
    <w:p>
      <w:pPr>
        <w:pStyle w:val="ListNumber"/>
        <w:spacing w:line="360" w:lineRule="auto"/>
      </w:pPr>
      <w:r>
        <w:rPr>
          <w:b/>
        </w:rPr>
        <w:t>Source-level confounding in compiled CHF databases is real, quantified and replicated across five datasets.</w:t>
      </w:r>
      <w:r>
        <w:t xml:space="preserve"> Its severity scales inversely with measurements per publication, from 0.806 at 6.5 rows per publication to 0.273 at 186.5.</w:t>
      </w:r>
    </w:p>
    <w:p>
      <w:pPr>
        <w:pStyle w:val="ListNumber"/>
        <w:spacing w:line="360" w:lineRule="auto"/>
      </w:pPr>
      <w:r>
        <w:rPr>
          <w:b/>
        </w:rPr>
        <w:t>Random-split validation substantially overstates performance</w:t>
      </w:r>
      <w:r>
        <w:t xml:space="preserve"> on sparse multi-source data: R2 0.776 falling to -0.043 on the engineered-surface corpus.</w:t>
      </w:r>
    </w:p>
    <w:p>
      <w:pPr>
        <w:pStyle w:val="ListNumber"/>
        <w:spacing w:line="360" w:lineRule="auto"/>
      </w:pPr>
      <w:r>
        <w:rPr>
          <w:b/>
        </w:rPr>
        <w:t>Pooling can invert the sign of a physical relationship.</w:t>
      </w:r>
      <w:r>
        <w:t xml:space="preserve"> The roughness-to-CHF relationship reverses direction, contradicting the mechanism the source papers themselves invoke.</w:t>
      </w:r>
    </w:p>
    <w:p>
      <w:pPr>
        <w:pStyle w:val="ListNumber"/>
        <w:spacing w:line="360" w:lineRule="auto"/>
      </w:pPr>
      <w:r>
        <w:rPr>
          <w:b/>
        </w:rPr>
        <w:t>Standard diagnostics provide no warning.</w:t>
      </w:r>
      <w:r>
        <w:t xml:space="preserve"> Feature-importance rankings are unchanged between honest and optimistic protocols.</w:t>
      </w:r>
    </w:p>
    <w:p>
      <w:pPr>
        <w:pStyle w:val="ListNumber"/>
        <w:spacing w:line="360" w:lineRule="auto"/>
      </w:pPr>
      <w:r>
        <w:rPr>
          <w:b/>
        </w:rPr>
        <w:t>Dimensionless formulation enables cross-fluid transfer</w:t>
      </w:r>
      <w:r>
        <w:t>, improving error by 10 to 32 times on unseen refrigerants while leaving within-fluid accuracy unchanged.</w:t>
      </w:r>
    </w:p>
    <w:p>
      <w:pPr>
        <w:pStyle w:val="ListNumber"/>
        <w:spacing w:line="360" w:lineRule="auto"/>
      </w:pPr>
      <w:r>
        <w:rPr>
          <w:b/>
        </w:rPr>
        <w:t>Closed-form correlations outperform all machine learning in genuinely unseen regimes</w:t>
      </w:r>
      <w:r>
        <w:t>: 0.821 against -0.077 on non-uniform axial heating, with zero fitted parameters.</w:t>
      </w:r>
    </w:p>
    <w:p>
      <w:pPr>
        <w:pStyle w:val="ListNumber"/>
        <w:spacing w:line="360" w:lineRule="auto"/>
      </w:pPr>
      <w:r>
        <w:rPr>
          <w:b/>
        </w:rPr>
        <w:t>The physics-accuracy trade-off is controllable</w:t>
      </w:r>
      <w:r>
        <w:t xml:space="preserve"> through a single bound on the learned correction, monotonic and in opposite directions on familiar and novel data.</w:t>
      </w:r>
    </w:p>
    <w:p>
      <w:pPr>
        <w:pStyle w:val="Heading3"/>
      </w:pPr>
      <w:r>
        <w:rPr>
          <w:rFonts w:ascii="Times New Roman" w:hAnsi="Times New Roman"/>
          <w:color w:val="000000"/>
        </w:rPr>
        <w:t>13.2 Open problems</w:t>
      </w:r>
    </w:p>
    <w:p>
      <w:pPr>
        <w:pStyle w:val="ListBullet"/>
        <w:spacing w:line="360" w:lineRule="auto"/>
      </w:pPr>
      <w:r>
        <w:rPr>
          <w:b/>
        </w:rPr>
        <w:t>Automatic fallback calibration.</w:t>
      </w:r>
      <w:r>
        <w:t xml:space="preserve"> Selecting when to trust physics over machine learning cannot be calibrated on in-distribution data, and out-of-distribution data is unavailable at calibration time.</w:t>
      </w:r>
    </w:p>
    <w:p>
      <w:pPr>
        <w:pStyle w:val="ListBullet"/>
        <w:spacing w:line="360" w:lineRule="auto"/>
      </w:pPr>
      <w:r>
        <w:rPr>
          <w:b/>
        </w:rPr>
        <w:t>The engineered-surface corpus remains small</w:t>
      </w:r>
      <w:r>
        <w:t>: 65 fully characterised rows across 10 publications, of which one contributes 40%. Two publications contribute a single row each.</w:t>
      </w:r>
    </w:p>
    <w:p>
      <w:pPr>
        <w:pStyle w:val="ListBullet"/>
        <w:spacing w:line="360" w:lineRule="auto"/>
      </w:pPr>
      <w:r>
        <w:rPr>
          <w:b/>
        </w:rPr>
        <w:t>Two directory conventions coexist</w:t>
      </w:r>
      <w:r>
        <w:t xml:space="preserve"> in the repository, a transfer-learning organisation and a held-out-evaluation organisation. These should be reconciled before publication.</w:t>
      </w:r>
    </w:p>
    <w:p>
      <w:pPr>
        <w:pStyle w:val="ListBullet"/>
        <w:spacing w:line="360" w:lineRule="auto"/>
      </w:pPr>
      <w:r>
        <w:rPr>
          <w:b/>
        </w:rPr>
        <w:t>The Kam 2015 CHF discrepancy</w:t>
      </w:r>
      <w:r>
        <w:t xml:space="preserve"> requires figure digitisation to resolve.</w:t>
      </w:r>
    </w:p>
    <w:p>
      <w:pPr>
        <w:pStyle w:val="ListBullet"/>
        <w:spacing w:line="360" w:lineRule="auto"/>
      </w:pPr>
      <w:r>
        <w:rPr>
          <w:b/>
        </w:rPr>
        <w:t>Helical-coil geometry</w:t>
      </w:r>
      <w:r>
        <w:t xml:space="preserve"> is not covered by any available straight-tube correlation and remains the weakest predicted regime.</w:t>
      </w:r>
    </w:p>
    <w:p>
      <w:pPr>
        <w:pStyle w:val="Heading3"/>
      </w:pPr>
      <w:r>
        <w:rPr>
          <w:rFonts w:ascii="Times New Roman" w:hAnsi="Times New Roman"/>
          <w:color w:val="000000"/>
        </w:rPr>
        <w:t>13.3 Immediate next step</w:t>
      </w:r>
    </w:p>
    <w:p>
      <w:pPr>
        <w:jc w:val="both"/>
      </w:pPr>
      <w:r>
        <w:t>The physics machinery developed in Phase IX — regime-dispatched baselines, dimensionless formulation, bounded corrections, the Kutateladze pool-boiling form — has been validated on flow-boiling data but has not yet been applied to the engineered-surface corpus that is the manuscript's actual subject. Approximately 155 pool-boiling rows are now available for that purpose: the 100-row eleven-publication extraction together with the supervisor's 55-row strip experiments, carrying orientation, roughness and contact angle. Applying the validated toolkit to that corpus is the highest-value remaining work.</w:t>
      </w:r>
    </w:p>
    <w:p>
      <w:pPr>
        <w:jc w:val="center"/>
      </w:pPr>
      <w:r>
        <w:rPr>
          <w:sz w:val="20"/>
        </w:rPr>
        <w:t>• • •</w:t>
      </w:r>
    </w:p>
    <w:p>
      <w:pPr>
        <w:jc w:val="both"/>
      </w:pPr>
      <w:r>
        <w:t>*Compiled from the project repository: 10 integrated datasets, 28,470 experimental records, 35 reference publications, 13 exploratory analysis notebooks, 10 model-test notebooks, and the full analysis and physics pipelines. All figures quoted are reproducible from the scripts and result files held in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