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b/>
          <w:bCs/>
          <w:color w:val="1D5DBF"/>
          <w:sz w:val="44"/>
          <w:szCs w:val="44"/>
        </w:rPr>
        <w:t xml:space="preserve">STATEMENT OF WORK</w:t>
      </w:r>
    </w:p>
    <w:p>
      <w:pPr>
        <w:pBdr>
          <w:bottom w:val="single" w:color="7AC142" w:sz="12" w:space="4"/>
        </w:pBdr>
        <w:spacing w:after="120"/>
        <w:jc w:val="center"/>
      </w:pPr>
      <w:r>
        <w:rPr>
          <w:sz w:val="4"/>
          <w:szCs w:val="4"/>
        </w:rPr>
        <w:t xml:space="preserve"/>
      </w:r>
    </w:p>
    <w:p>
      <w:pPr>
        <w:spacing w:after="360"/>
        <w:jc w:val="center"/>
      </w:pPr>
      <w:r>
        <w:rPr>
          <w:i/>
          <w:iCs/>
          <w:color w:val="4e5d78"/>
          <w:sz w:val="22"/>
          <w:szCs w:val="22"/>
        </w:rPr>
        <w:t xml:space="preserve">Annexure A to Master Services Agreement dated 20 April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SoW Reference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ITL/SOW/MAKSON/2026-04-001</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Project Name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Makson Attendance Management System (MAMS)</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Service Provider</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Infoloop Technologies LLP</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Client</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Makson Pharmaceuticals (India) Pvt. Ltd.</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Effective Date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20 April 2026</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Estimated Duration</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8 to 10 weeks</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Total Fees</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INR 7,50,000/- + GST</w:t>
            </w:r>
          </w:p>
        </w:tc>
      </w:tr>
    </w:tbl>
    <w:p>
      <w:pPr>
        <w:spacing w:after="280"/>
      </w:pPr>
      <w:r>
        <w:t xml:space="preserve"/>
      </w:r>
    </w:p>
    <w:p>
      <w:pPr>
        <w:pStyle w:val="Heading2"/>
      </w:pPr>
      <w:r>
        <w:t xml:space="preserve">1. PROJECT OBJECTIVE</w:t>
      </w:r>
    </w:p>
    <w:p>
      <w:pPr>
        <w:spacing w:after="120" w:before="0" w:line="300"/>
        <w:jc w:val="left"/>
      </w:pPr>
      <w:r>
        <w:t xml:space="preserve">To design, develop, deploy, and hand over a custom Attendance Management System (MAMS) for Makson Group that:</w:t>
      </w:r>
    </w:p>
    <w:p>
      <w:pPr>
        <w:pStyle w:val="ListParagraph"/>
        <w:numPr>
          <w:ilvl w:val="0"/>
          <w:numId w:val="2"/>
        </w:numPr>
        <w:spacing w:after="80" w:line="300"/>
      </w:pPr>
      <w:r>
        <w:t xml:space="preserve">Captures real-time attendance data from biometric devices across all factory locations.</w:t>
      </w:r>
    </w:p>
    <w:p>
      <w:pPr>
        <w:pStyle w:val="ListParagraph"/>
        <w:numPr>
          <w:ilvl w:val="0"/>
          <w:numId w:val="2"/>
        </w:numPr>
        <w:spacing w:after="80" w:line="300"/>
      </w:pPr>
      <w:r>
        <w:t xml:space="preserve">Maintains parallel internal (real) and compliance (regulatory) views of attendance through a dual-credential architecture.</w:t>
      </w:r>
    </w:p>
    <w:p>
      <w:pPr>
        <w:pStyle w:val="ListParagraph"/>
        <w:numPr>
          <w:ilvl w:val="0"/>
          <w:numId w:val="2"/>
        </w:numPr>
        <w:spacing w:after="80" w:line="300"/>
      </w:pPr>
      <w:r>
        <w:t xml:space="preserve">Generates labour-law-compliant reports for inspection by government authorities.</w:t>
      </w:r>
    </w:p>
    <w:p>
      <w:pPr>
        <w:pStyle w:val="ListParagraph"/>
        <w:numPr>
          <w:ilvl w:val="0"/>
          <w:numId w:val="2"/>
        </w:numPr>
        <w:spacing w:after="80" w:line="300"/>
      </w:pPr>
      <w:r>
        <w:t xml:space="preserve">Provides comprehensive employee master, device monitoring, attendance log, adjustments workflow, and reporting modules.</w:t>
      </w:r>
    </w:p>
    <w:p>
      <w:pPr>
        <w:pStyle w:val="ListParagraph"/>
        <w:numPr>
          <w:ilvl w:val="0"/>
          <w:numId w:val="2"/>
        </w:numPr>
        <w:spacing w:after="80" w:line="300"/>
      </w:pPr>
      <w:r>
        <w:t xml:space="preserve">Captures hours-based attendance data architected to support a future Phase 2 payroll module.</w:t>
      </w:r>
    </w:p>
    <w:p>
      <w:pPr>
        <w:pStyle w:val="Heading2"/>
      </w:pPr>
      <w:r>
        <w:t xml:space="preserve">2. SCOPE OF DELIVERABLES</w:t>
      </w:r>
    </w:p>
    <w:p>
      <w:pPr>
        <w:pStyle w:val="Heading3"/>
      </w:pPr>
      <w:r>
        <w:t xml:space="preserve">2.1 Authentication &amp; Access</w:t>
      </w:r>
    </w:p>
    <w:p>
      <w:pPr>
        <w:pStyle w:val="ListParagraph"/>
        <w:numPr>
          <w:ilvl w:val="0"/>
          <w:numId w:val="2"/>
        </w:numPr>
        <w:spacing w:after="80" w:line="300"/>
      </w:pPr>
      <w:r>
        <w:t xml:space="preserve">Dual-credential login system (internal user / compliance auditor) with identical UI but differentiated data view.</w:t>
      </w:r>
    </w:p>
    <w:p>
      <w:pPr>
        <w:pStyle w:val="ListParagraph"/>
        <w:numPr>
          <w:ilvl w:val="0"/>
          <w:numId w:val="2"/>
        </w:numPr>
        <w:spacing w:after="80" w:line="300"/>
      </w:pPr>
      <w:r>
        <w:t xml:space="preserve">Role-based access control with audit logging.</w:t>
      </w:r>
    </w:p>
    <w:p>
      <w:pPr>
        <w:pStyle w:val="ListParagraph"/>
        <w:numPr>
          <w:ilvl w:val="0"/>
          <w:numId w:val="2"/>
        </w:numPr>
        <w:spacing w:after="80" w:line="300"/>
      </w:pPr>
      <w:r>
        <w:t xml:space="preserve">Password policy enforcement and session management.</w:t>
      </w:r>
    </w:p>
    <w:p>
      <w:pPr>
        <w:pStyle w:val="Heading3"/>
      </w:pPr>
      <w:r>
        <w:t xml:space="preserve">2.2 Employee Master Module</w:t>
      </w:r>
    </w:p>
    <w:p>
      <w:pPr>
        <w:pStyle w:val="ListParagraph"/>
        <w:numPr>
          <w:ilvl w:val="0"/>
          <w:numId w:val="2"/>
        </w:numPr>
        <w:spacing w:after="80" w:line="300"/>
      </w:pPr>
      <w:r>
        <w:t xml:space="preserve">Full CRUD operations for employee records.</w:t>
      </w:r>
    </w:p>
    <w:p>
      <w:pPr>
        <w:pStyle w:val="ListParagraph"/>
        <w:numPr>
          <w:ilvl w:val="0"/>
          <w:numId w:val="2"/>
        </w:numPr>
        <w:spacing w:after="80" w:line="300"/>
      </w:pPr>
      <w:r>
        <w:t xml:space="preserve">Fields: ID, name, gender, department, designation, location, time shift, alternate (compliance) time shift, weekly off (multi-day), date of joining, biometric ID, PAN, Aadhaar, bank account details, PF number, ESI number.</w:t>
      </w:r>
    </w:p>
    <w:p>
      <w:pPr>
        <w:pStyle w:val="ListParagraph"/>
        <w:numPr>
          <w:ilvl w:val="0"/>
          <w:numId w:val="2"/>
        </w:numPr>
        <w:spacing w:after="80" w:line="300"/>
      </w:pPr>
      <w:r>
        <w:t xml:space="preserve">Field-level validation as per Indian regulatory formats (PAN, IFSC).</w:t>
      </w:r>
    </w:p>
    <w:p>
      <w:pPr>
        <w:pStyle w:val="ListParagraph"/>
        <w:numPr>
          <w:ilvl w:val="0"/>
          <w:numId w:val="2"/>
        </w:numPr>
        <w:spacing w:after="80" w:line="300"/>
      </w:pPr>
      <w:r>
        <w:t xml:space="preserve">Active / inactive status management.</w:t>
      </w:r>
    </w:p>
    <w:p>
      <w:pPr>
        <w:pStyle w:val="ListParagraph"/>
        <w:numPr>
          <w:ilvl w:val="0"/>
          <w:numId w:val="2"/>
        </w:numPr>
        <w:spacing w:after="80" w:line="300"/>
      </w:pPr>
      <w:r>
        <w:t xml:space="preserve">Search, filter, sort, and pagination.</w:t>
      </w:r>
    </w:p>
    <w:p>
      <w:pPr>
        <w:pStyle w:val="Heading3"/>
      </w:pPr>
      <w:r>
        <w:t xml:space="preserve">2.3 Attendance Capture</w:t>
      </w:r>
    </w:p>
    <w:p>
      <w:pPr>
        <w:pStyle w:val="ListParagraph"/>
        <w:numPr>
          <w:ilvl w:val="0"/>
          <w:numId w:val="2"/>
        </w:numPr>
        <w:spacing w:after="80" w:line="300"/>
      </w:pPr>
      <w:r>
        <w:t xml:space="preserve">Integration with eSSL biometric devices via Push Data Technology (ADMS protocol).</w:t>
      </w:r>
    </w:p>
    <w:p>
      <w:pPr>
        <w:pStyle w:val="ListParagraph"/>
        <w:numPr>
          <w:ilvl w:val="0"/>
          <w:numId w:val="2"/>
        </w:numPr>
        <w:spacing w:after="80" w:line="300"/>
      </w:pPr>
      <w:r>
        <w:t xml:space="preserve">Real-time punch capture with timestamp, device ID, and employee mapping.</w:t>
      </w:r>
    </w:p>
    <w:p>
      <w:pPr>
        <w:pStyle w:val="ListParagraph"/>
        <w:numPr>
          <w:ilvl w:val="0"/>
          <w:numId w:val="2"/>
        </w:numPr>
        <w:spacing w:after="80" w:line="300"/>
      </w:pPr>
      <w:r>
        <w:t xml:space="preserve">Smart Anchor v2 engine for compliance punch generation within assigned 8-hour window.</w:t>
      </w:r>
    </w:p>
    <w:p>
      <w:pPr>
        <w:pStyle w:val="ListParagraph"/>
        <w:numPr>
          <w:ilvl w:val="0"/>
          <w:numId w:val="2"/>
        </w:numPr>
        <w:spacing w:after="80" w:line="300"/>
      </w:pPr>
      <w:r>
        <w:t xml:space="preserve">Hours decomposition: gross hours, break minutes, net hours, compliant hours, OT hours.</w:t>
      </w:r>
    </w:p>
    <w:p>
      <w:pPr>
        <w:pStyle w:val="ListParagraph"/>
        <w:numPr>
          <w:ilvl w:val="0"/>
          <w:numId w:val="2"/>
        </w:numPr>
        <w:spacing w:after="80" w:line="300"/>
      </w:pPr>
      <w:r>
        <w:t xml:space="preserve">Day type classification (Working / Weekly Off / Absent).</w:t>
      </w:r>
    </w:p>
    <w:p>
      <w:pPr>
        <w:pStyle w:val="ListParagraph"/>
        <w:numPr>
          <w:ilvl w:val="0"/>
          <w:numId w:val="2"/>
        </w:numPr>
        <w:spacing w:after="80" w:line="300"/>
      </w:pPr>
      <w:r>
        <w:t xml:space="preserve">Live attendance log dashboard.</w:t>
      </w:r>
    </w:p>
    <w:p>
      <w:pPr>
        <w:pStyle w:val="Heading3"/>
      </w:pPr>
      <w:r>
        <w:t xml:space="preserve">2.4 Attendance Adjustments Module</w:t>
      </w:r>
    </w:p>
    <w:p>
      <w:pPr>
        <w:pStyle w:val="ListParagraph"/>
        <w:numPr>
          <w:ilvl w:val="0"/>
          <w:numId w:val="2"/>
        </w:numPr>
        <w:spacing w:after="80" w:line="300"/>
      </w:pPr>
      <w:r>
        <w:t xml:space="preserve">HR-initiated adjustment requests for syncing compliance data with reality.</w:t>
      </w:r>
    </w:p>
    <w:p>
      <w:pPr>
        <w:pStyle w:val="ListParagraph"/>
        <w:numPr>
          <w:ilvl w:val="0"/>
          <w:numId w:val="2"/>
        </w:numPr>
        <w:spacing w:after="80" w:line="300"/>
      </w:pPr>
      <w:r>
        <w:t xml:space="preserve">Mandatory fields: employee, dates, reason, justification, supporting evidence, salary impact note.</w:t>
      </w:r>
    </w:p>
    <w:p>
      <w:pPr>
        <w:pStyle w:val="ListParagraph"/>
        <w:numPr>
          <w:ilvl w:val="0"/>
          <w:numId w:val="2"/>
        </w:numPr>
        <w:spacing w:after="80" w:line="300"/>
      </w:pPr>
      <w:r>
        <w:t xml:space="preserve">Approval workflow with single and bulk approve/reject capability.</w:t>
      </w:r>
    </w:p>
    <w:p>
      <w:pPr>
        <w:pStyle w:val="ListParagraph"/>
        <w:numPr>
          <w:ilvl w:val="0"/>
          <w:numId w:val="2"/>
        </w:numPr>
        <w:spacing w:after="80" w:line="300"/>
      </w:pPr>
      <w:r>
        <w:t xml:space="preserve">Immutable audit trail of all adjustment actions.</w:t>
      </w:r>
    </w:p>
    <w:p>
      <w:pPr>
        <w:pStyle w:val="ListParagraph"/>
        <w:numPr>
          <w:ilvl w:val="0"/>
          <w:numId w:val="2"/>
        </w:numPr>
        <w:spacing w:after="80" w:line="300"/>
      </w:pPr>
      <w:r>
        <w:t xml:space="preserve">Status tracking (Pending / Approved / Rejected) with full history.</w:t>
      </w:r>
    </w:p>
    <w:p>
      <w:pPr>
        <w:pStyle w:val="Heading3"/>
      </w:pPr>
      <w:r>
        <w:t xml:space="preserve">2.5 Reports Module</w:t>
      </w:r>
    </w:p>
    <w:p>
      <w:pPr>
        <w:pStyle w:val="ListParagraph"/>
        <w:numPr>
          <w:ilvl w:val="0"/>
          <w:numId w:val="2"/>
        </w:numPr>
        <w:spacing w:after="80" w:line="300"/>
      </w:pPr>
      <w:r>
        <w:t xml:space="preserve">Daily Attendance Report with date range filtering.</w:t>
      </w:r>
    </w:p>
    <w:p>
      <w:pPr>
        <w:pStyle w:val="ListParagraph"/>
        <w:numPr>
          <w:ilvl w:val="0"/>
          <w:numId w:val="2"/>
        </w:numPr>
        <w:spacing w:after="80" w:line="300"/>
      </w:pPr>
      <w:r>
        <w:t xml:space="preserve">Monthly Summary Report.</w:t>
      </w:r>
    </w:p>
    <w:p>
      <w:pPr>
        <w:pStyle w:val="ListParagraph"/>
        <w:numPr>
          <w:ilvl w:val="0"/>
          <w:numId w:val="2"/>
        </w:numPr>
        <w:spacing w:after="80" w:line="300"/>
      </w:pPr>
      <w:r>
        <w:t xml:space="preserve">Department-wise Report.</w:t>
      </w:r>
    </w:p>
    <w:p>
      <w:pPr>
        <w:pStyle w:val="ListParagraph"/>
        <w:numPr>
          <w:ilvl w:val="0"/>
          <w:numId w:val="2"/>
        </w:numPr>
        <w:spacing w:after="80" w:line="300"/>
      </w:pPr>
      <w:r>
        <w:t xml:space="preserve">Location-wise Report.</w:t>
      </w:r>
    </w:p>
    <w:p>
      <w:pPr>
        <w:pStyle w:val="Heading3"/>
      </w:pPr>
      <w:r>
        <w:t xml:space="preserve">2.6 Devices Module</w:t>
      </w:r>
    </w:p>
    <w:p>
      <w:pPr>
        <w:pStyle w:val="ListParagraph"/>
        <w:numPr>
          <w:ilvl w:val="0"/>
          <w:numId w:val="2"/>
        </w:numPr>
        <w:spacing w:after="80" w:line="300"/>
      </w:pPr>
      <w:r>
        <w:t xml:space="preserve">Device registry with online/offline status monitoring.</w:t>
      </w:r>
    </w:p>
    <w:p>
      <w:pPr>
        <w:pStyle w:val="ListParagraph"/>
        <w:numPr>
          <w:ilvl w:val="0"/>
          <w:numId w:val="2"/>
        </w:numPr>
        <w:spacing w:after="80" w:line="300"/>
      </w:pPr>
      <w:r>
        <w:t xml:space="preserve">Per-device sync controls and global Sync All capability.</w:t>
      </w:r>
    </w:p>
    <w:p>
      <w:pPr>
        <w:pStyle w:val="ListParagraph"/>
        <w:numPr>
          <w:ilvl w:val="0"/>
          <w:numId w:val="2"/>
        </w:numPr>
        <w:spacing w:after="80" w:line="300"/>
      </w:pPr>
      <w:r>
        <w:t xml:space="preserve">Last-sync timestamps and 100K transaction offline buffer awareness.</w:t>
      </w:r>
    </w:p>
    <w:p>
      <w:pPr>
        <w:pStyle w:val="Heading3"/>
      </w:pPr>
      <w:r>
        <w:t xml:space="preserve">2.7 Settings Module</w:t>
      </w:r>
    </w:p>
    <w:p>
      <w:pPr>
        <w:pStyle w:val="ListParagraph"/>
        <w:numPr>
          <w:ilvl w:val="0"/>
          <w:numId w:val="2"/>
        </w:numPr>
        <w:spacing w:after="80" w:line="300"/>
      </w:pPr>
      <w:r>
        <w:t xml:space="preserve">Company compliance information (CIN, GSTIN, PF, ESI, Factory Licence, address, signatory).</w:t>
      </w:r>
    </w:p>
    <w:p>
      <w:pPr>
        <w:pStyle w:val="ListParagraph"/>
        <w:numPr>
          <w:ilvl w:val="0"/>
          <w:numId w:val="2"/>
        </w:numPr>
        <w:spacing w:after="80" w:line="300"/>
      </w:pPr>
      <w:r>
        <w:t xml:space="preserve">Company-wide weekly off default.</w:t>
      </w:r>
    </w:p>
    <w:p>
      <w:pPr>
        <w:pStyle w:val="ListParagraph"/>
        <w:numPr>
          <w:ilvl w:val="0"/>
          <w:numId w:val="2"/>
        </w:numPr>
        <w:spacing w:after="80" w:line="300"/>
      </w:pPr>
      <w:r>
        <w:t xml:space="preserve">Time shifts configuration (actual 12-hour and compliance 8-hour).</w:t>
      </w:r>
    </w:p>
    <w:p>
      <w:pPr>
        <w:pStyle w:val="ListParagraph"/>
        <w:numPr>
          <w:ilvl w:val="0"/>
          <w:numId w:val="2"/>
        </w:numPr>
        <w:spacing w:after="80" w:line="300"/>
      </w:pPr>
      <w:r>
        <w:t xml:space="preserve">Smart Anchor configuration (toggle, offset range).</w:t>
      </w:r>
    </w:p>
    <w:p>
      <w:pPr>
        <w:pStyle w:val="ListParagraph"/>
        <w:numPr>
          <w:ilvl w:val="0"/>
          <w:numId w:val="2"/>
        </w:numPr>
        <w:spacing w:after="80" w:line="300"/>
      </w:pPr>
      <w:r>
        <w:t xml:space="preserve">User management with add/edit capability.</w:t>
      </w:r>
    </w:p>
    <w:p>
      <w:pPr>
        <w:pStyle w:val="ListParagraph"/>
        <w:numPr>
          <w:ilvl w:val="0"/>
          <w:numId w:val="2"/>
        </w:numPr>
        <w:spacing w:after="80" w:line="300"/>
      </w:pPr>
      <w:r>
        <w:t xml:space="preserve">Confidentiality notice toggle and editor.</w:t>
      </w:r>
    </w:p>
    <w:p>
      <w:pPr>
        <w:pStyle w:val="Heading3"/>
      </w:pPr>
      <w:r>
        <w:t xml:space="preserve">2.8 Documentation &amp; Training</w:t>
      </w:r>
    </w:p>
    <w:p>
      <w:pPr>
        <w:pStyle w:val="ListParagraph"/>
        <w:numPr>
          <w:ilvl w:val="0"/>
          <w:numId w:val="2"/>
        </w:numPr>
        <w:spacing w:after="80" w:line="300"/>
      </w:pPr>
      <w:r>
        <w:t xml:space="preserve">User Manual (HR Admin, Compliance Auditor).</w:t>
      </w:r>
    </w:p>
    <w:p>
      <w:pPr>
        <w:pStyle w:val="ListParagraph"/>
        <w:numPr>
          <w:ilvl w:val="0"/>
          <w:numId w:val="2"/>
        </w:numPr>
        <w:spacing w:after="80" w:line="300"/>
      </w:pPr>
      <w:r>
        <w:t xml:space="preserve">Admin Setup Guide.</w:t>
      </w:r>
    </w:p>
    <w:p>
      <w:pPr>
        <w:pStyle w:val="ListParagraph"/>
        <w:numPr>
          <w:ilvl w:val="0"/>
          <w:numId w:val="2"/>
        </w:numPr>
        <w:spacing w:after="80" w:line="300"/>
      </w:pPr>
      <w:r>
        <w:t xml:space="preserve">System Architecture Document.</w:t>
      </w:r>
    </w:p>
    <w:p>
      <w:pPr>
        <w:pStyle w:val="ListParagraph"/>
        <w:numPr>
          <w:ilvl w:val="0"/>
          <w:numId w:val="2"/>
        </w:numPr>
        <w:spacing w:after="80" w:line="300"/>
      </w:pPr>
      <w:r>
        <w:t xml:space="preserve">Source Code with inline documentation.</w:t>
      </w:r>
    </w:p>
    <w:p>
      <w:pPr>
        <w:pStyle w:val="ListParagraph"/>
        <w:numPr>
          <w:ilvl w:val="0"/>
          <w:numId w:val="2"/>
        </w:numPr>
        <w:spacing w:after="80" w:line="300"/>
      </w:pPr>
      <w:r>
        <w:t xml:space="preserve">One online training session (up to 2 hours) for HR team and IT administrator.</w:t>
      </w:r>
    </w:p>
    <w:p>
      <w:pPr>
        <w:pStyle w:val="Heading2"/>
      </w:pPr>
      <w:r>
        <w:t xml:space="preserve">3. OUT OF SCOPE</w:t>
      </w:r>
    </w:p>
    <w:p>
      <w:pPr>
        <w:spacing w:after="120" w:before="0" w:line="300"/>
        <w:jc w:val="left"/>
      </w:pPr>
      <w:r>
        <w:t xml:space="preserve">The following are explicitly excluded from Phase 1 and shall be addressed under separate engagements if required:</w:t>
      </w:r>
    </w:p>
    <w:p>
      <w:pPr>
        <w:pStyle w:val="ListParagraph"/>
        <w:numPr>
          <w:ilvl w:val="0"/>
          <w:numId w:val="2"/>
        </w:numPr>
        <w:spacing w:after="80" w:line="300"/>
      </w:pPr>
      <w:r>
        <w:t xml:space="preserve">Payroll calculation, salary processing, and disbursement.</w:t>
      </w:r>
    </w:p>
    <w:p>
      <w:pPr>
        <w:pStyle w:val="ListParagraph"/>
        <w:numPr>
          <w:ilvl w:val="0"/>
          <w:numId w:val="2"/>
        </w:numPr>
        <w:spacing w:after="80" w:line="300"/>
      </w:pPr>
      <w:r>
        <w:t xml:space="preserve">PF / ESI / PT statutory return generation and filing.</w:t>
      </w:r>
    </w:p>
    <w:p>
      <w:pPr>
        <w:pStyle w:val="ListParagraph"/>
        <w:numPr>
          <w:ilvl w:val="0"/>
          <w:numId w:val="2"/>
        </w:numPr>
        <w:spacing w:after="80" w:line="300"/>
      </w:pPr>
      <w:r>
        <w:t xml:space="preserve">TDS calculation and Form 16 generation.</w:t>
      </w:r>
    </w:p>
    <w:p>
      <w:pPr>
        <w:pStyle w:val="ListParagraph"/>
        <w:numPr>
          <w:ilvl w:val="0"/>
          <w:numId w:val="2"/>
        </w:numPr>
        <w:spacing w:after="80" w:line="300"/>
      </w:pPr>
      <w:r>
        <w:t xml:space="preserve">Leave management module (CL/SL/PL balances, leave application workflow).</w:t>
      </w:r>
    </w:p>
    <w:p>
      <w:pPr>
        <w:pStyle w:val="ListParagraph"/>
        <w:numPr>
          <w:ilvl w:val="0"/>
          <w:numId w:val="2"/>
        </w:numPr>
        <w:spacing w:after="80" w:line="300"/>
      </w:pPr>
      <w:r>
        <w:t xml:space="preserve">Mobile applications (iOS/Android) — desktop-responsive web only.</w:t>
      </w:r>
    </w:p>
    <w:p>
      <w:pPr>
        <w:pStyle w:val="ListParagraph"/>
        <w:numPr>
          <w:ilvl w:val="0"/>
          <w:numId w:val="2"/>
        </w:numPr>
        <w:spacing w:after="80" w:line="300"/>
      </w:pPr>
      <w:r>
        <w:t xml:space="preserve">Integration with third-party HRMS, ERP, or accounting systems.</w:t>
      </w:r>
    </w:p>
    <w:p>
      <w:pPr>
        <w:pStyle w:val="ListParagraph"/>
        <w:numPr>
          <w:ilvl w:val="0"/>
          <w:numId w:val="2"/>
        </w:numPr>
        <w:spacing w:after="80" w:line="300"/>
      </w:pPr>
      <w:r>
        <w:t xml:space="preserve">Migration of historical attendance data from legacy systems.</w:t>
      </w:r>
    </w:p>
    <w:p>
      <w:pPr>
        <w:pStyle w:val="ListParagraph"/>
        <w:numPr>
          <w:ilvl w:val="0"/>
          <w:numId w:val="2"/>
        </w:numPr>
        <w:spacing w:after="80" w:line="300"/>
      </w:pPr>
      <w:r>
        <w:t xml:space="preserve">Hardware procurement (biometric devices, servers, network equipment).</w:t>
      </w:r>
    </w:p>
    <w:p>
      <w:pPr>
        <w:pStyle w:val="ListParagraph"/>
        <w:numPr>
          <w:ilvl w:val="0"/>
          <w:numId w:val="2"/>
        </w:numPr>
        <w:spacing w:after="80" w:line="300"/>
      </w:pPr>
      <w:r>
        <w:t xml:space="preserve">Replacement of incompatible legacy biometric devices (Client responsibility).</w:t>
      </w:r>
    </w:p>
    <w:p>
      <w:pPr>
        <w:pStyle w:val="ListParagraph"/>
        <w:numPr>
          <w:ilvl w:val="0"/>
          <w:numId w:val="2"/>
        </w:numPr>
        <w:spacing w:after="80" w:line="300"/>
      </w:pPr>
      <w:r>
        <w:t xml:space="preserve">Customisation of biometric device firmware or third-party SDKs.</w:t>
      </w:r>
    </w:p>
    <w:p>
      <w:pPr>
        <w:pStyle w:val="ListParagraph"/>
        <w:numPr>
          <w:ilvl w:val="0"/>
          <w:numId w:val="2"/>
        </w:numPr>
        <w:spacing w:after="80" w:line="300"/>
      </w:pPr>
      <w:r>
        <w:t xml:space="preserve">SMS/WhatsApp/email notification systems.</w:t>
      </w:r>
    </w:p>
    <w:p>
      <w:pPr>
        <w:pStyle w:val="ListParagraph"/>
        <w:numPr>
          <w:ilvl w:val="0"/>
          <w:numId w:val="2"/>
        </w:numPr>
        <w:spacing w:after="80" w:line="300"/>
      </w:pPr>
      <w:r>
        <w:t xml:space="preserve">Multi-language UI (English only in Phase 1).</w:t>
      </w:r>
    </w:p>
    <w:p>
      <w:pPr>
        <w:pStyle w:val="ListParagraph"/>
        <w:numPr>
          <w:ilvl w:val="0"/>
          <w:numId w:val="2"/>
        </w:numPr>
        <w:spacing w:after="80" w:line="300"/>
      </w:pPr>
      <w:r>
        <w:t xml:space="preserve">Cloud hosting (system shall be deployed on the Client’s on-premise server; cloud / SaaS hosting is excluded).</w:t>
      </w:r>
    </w:p>
    <w:p>
      <w:pPr>
        <w:pStyle w:val="ListParagraph"/>
        <w:numPr>
          <w:ilvl w:val="0"/>
          <w:numId w:val="2"/>
        </w:numPr>
        <w:spacing w:after="80" w:line="300"/>
      </w:pPr>
      <w:r>
        <w:t xml:space="preserve">Aadhaar number format / checksum validation (deferred to Phase 2 — Aadhaar field will be captured but not validated in Phase 1).</w:t>
      </w:r>
    </w:p>
    <w:p>
      <w:pPr>
        <w:pStyle w:val="ListParagraph"/>
        <w:numPr>
          <w:ilvl w:val="0"/>
          <w:numId w:val="2"/>
        </w:numPr>
        <w:spacing w:after="80" w:line="300"/>
      </w:pPr>
      <w:r>
        <w:t xml:space="preserve">Report export to PDF and CSV (deferred to Phase 2 — reports in Phase 1 are viewable on-screen with date / department / location filters; download functionality will be added in Phase 2).</w:t>
      </w:r>
    </w:p>
    <w:p>
      <w:pPr>
        <w:pStyle w:val="ListParagraph"/>
        <w:numPr>
          <w:ilvl w:val="0"/>
          <w:numId w:val="2"/>
        </w:numPr>
        <w:spacing w:after="80" w:line="300"/>
      </w:pPr>
      <w:r>
        <w:t xml:space="preserve">Enterprise letterhead PDF with full compliance details (CIN, GSTIN, PF, ESI, Factory Licence, signatory block, confidentiality notice) — deferred to Phase 2.</w:t>
      </w:r>
    </w:p>
    <w:p>
      <w:pPr>
        <w:pStyle w:val="ListParagraph"/>
        <w:numPr>
          <w:ilvl w:val="0"/>
          <w:numId w:val="2"/>
        </w:numPr>
        <w:spacing w:after="80" w:line="300"/>
      </w:pPr>
      <w:r>
        <w:t xml:space="preserve">Indian date format (DD/MM/YYYY) standardisation across all exports — in-app display follows DD/MM/YYYY by default; export-level standardisation deferred to Phase 2.</w:t>
      </w:r>
    </w:p>
    <w:p>
      <w:pPr>
        <w:pStyle w:val="ListParagraph"/>
        <w:numPr>
          <w:ilvl w:val="0"/>
          <w:numId w:val="2"/>
        </w:numPr>
        <w:spacing w:after="80" w:line="300"/>
      </w:pPr>
      <w:r>
        <w:t xml:space="preserve">Brand assets management (in-app upload of logo, favicon, page title) — deferred to Phase 2; in Phase 1, branding will be configured during initial deployment by the Service Provider.</w:t>
      </w:r>
    </w:p>
    <w:p>
      <w:pPr>
        <w:pStyle w:val="Heading2"/>
      </w:pPr>
      <w:r>
        <w:t xml:space="preserve">4. PROJECT TIMELINE</w:t>
      </w:r>
    </w:p>
    <w:p>
      <w:pPr>
        <w:spacing w:after="120" w:before="0" w:line="300"/>
        <w:jc w:val="left"/>
      </w:pPr>
      <w:r>
        <w:t xml:space="preserve">The following milestone schedule is indicative and assumes timely Client inputs and approvals.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900"/>
        <w:gridCol w:w="2180"/>
      </w:tblGrid>
      <w:tr>
        <w:trPr>
          <w:tblHeader/>
        </w:trPr>
        <w:tc>
          <w:tcPr>
            <w:tcW w:type="dxa" w:w="15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Phase</w:t>
            </w:r>
          </w:p>
        </w:tc>
        <w:tc>
          <w:tcPr>
            <w:tcW w:type="dxa" w:w="45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Deliverable</w:t>
            </w:r>
          </w:p>
        </w:tc>
        <w:tc>
          <w:tcPr>
            <w:tcW w:type="dxa" w:w="19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Duration</w:t>
            </w:r>
          </w:p>
        </w:tc>
        <w:tc>
          <w:tcPr>
            <w:tcW w:type="dxa" w:w="21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Cumulative</w:t>
            </w:r>
          </w:p>
        </w:tc>
      </w:tr>
      <w:tr>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 1</w:t>
            </w:r>
          </w:p>
        </w:tc>
        <w:tc>
          <w:tcPr>
            <w:tcW w:type="dxa" w:w="4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Kickoff, requirements freeze, environment setup</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1 week</w:t>
            </w:r>
          </w:p>
        </w:tc>
        <w:tc>
          <w:tcPr>
            <w:tcW w:type="dxa" w:w="21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 1</w:t>
            </w:r>
          </w:p>
        </w:tc>
      </w:tr>
      <w:tr>
        <w:tc>
          <w:tcPr>
            <w:tcW w:type="dxa" w:w="1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Week 2-3</w:t>
            </w:r>
          </w:p>
        </w:tc>
        <w:tc>
          <w:tcPr>
            <w:tcW w:type="dxa" w:w="4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Database schema, authentication, employee master</w:t>
            </w:r>
          </w:p>
        </w:tc>
        <w:tc>
          <w:tcPr>
            <w:tcW w:type="dxa" w:w="19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2 weeks</w:t>
            </w:r>
          </w:p>
        </w:tc>
        <w:tc>
          <w:tcPr>
            <w:tcW w:type="dxa" w:w="21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Week 3</w:t>
            </w:r>
          </w:p>
        </w:tc>
      </w:tr>
      <w:tr>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 4-5</w:t>
            </w:r>
          </w:p>
        </w:tc>
        <w:tc>
          <w:tcPr>
            <w:tcW w:type="dxa" w:w="4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Biometric integration, Smart Anchor engine, attendance capture</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2 weeks</w:t>
            </w:r>
          </w:p>
        </w:tc>
        <w:tc>
          <w:tcPr>
            <w:tcW w:type="dxa" w:w="21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 5</w:t>
            </w:r>
          </w:p>
        </w:tc>
      </w:tr>
      <w:tr>
        <w:tc>
          <w:tcPr>
            <w:tcW w:type="dxa" w:w="1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Week 6</w:t>
            </w:r>
          </w:p>
        </w:tc>
        <w:tc>
          <w:tcPr>
            <w:tcW w:type="dxa" w:w="4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Adjustments module, approval workflow</w:t>
            </w:r>
          </w:p>
        </w:tc>
        <w:tc>
          <w:tcPr>
            <w:tcW w:type="dxa" w:w="19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1 week</w:t>
            </w:r>
          </w:p>
        </w:tc>
        <w:tc>
          <w:tcPr>
            <w:tcW w:type="dxa" w:w="21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Week 6</w:t>
            </w:r>
          </w:p>
        </w:tc>
      </w:tr>
      <w:tr>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 7</w:t>
            </w:r>
          </w:p>
        </w:tc>
        <w:tc>
          <w:tcPr>
            <w:tcW w:type="dxa" w:w="4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Reports module, PDF generation, devices module</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1 week</w:t>
            </w:r>
          </w:p>
        </w:tc>
        <w:tc>
          <w:tcPr>
            <w:tcW w:type="dxa" w:w="21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 7</w:t>
            </w:r>
          </w:p>
        </w:tc>
      </w:tr>
      <w:tr>
        <w:tc>
          <w:tcPr>
            <w:tcW w:type="dxa" w:w="1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Week 8</w:t>
            </w:r>
          </w:p>
        </w:tc>
        <w:tc>
          <w:tcPr>
            <w:tcW w:type="dxa" w:w="4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Settings, polish, internal QA</w:t>
            </w:r>
          </w:p>
        </w:tc>
        <w:tc>
          <w:tcPr>
            <w:tcW w:type="dxa" w:w="19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1 week</w:t>
            </w:r>
          </w:p>
        </w:tc>
        <w:tc>
          <w:tcPr>
            <w:tcW w:type="dxa" w:w="21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Week 8</w:t>
            </w:r>
          </w:p>
        </w:tc>
      </w:tr>
      <w:tr>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 9</w:t>
            </w:r>
          </w:p>
        </w:tc>
        <w:tc>
          <w:tcPr>
            <w:tcW w:type="dxa" w:w="4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UAT, bug fixes, documentation</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1 week</w:t>
            </w:r>
          </w:p>
        </w:tc>
        <w:tc>
          <w:tcPr>
            <w:tcW w:type="dxa" w:w="21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 9</w:t>
            </w:r>
          </w:p>
        </w:tc>
      </w:tr>
      <w:tr>
        <w:tc>
          <w:tcPr>
            <w:tcW w:type="dxa" w:w="1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Week 10</w:t>
            </w:r>
          </w:p>
        </w:tc>
        <w:tc>
          <w:tcPr>
            <w:tcW w:type="dxa" w:w="4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Training, deployment, handover, sign-off</w:t>
            </w:r>
          </w:p>
        </w:tc>
        <w:tc>
          <w:tcPr>
            <w:tcW w:type="dxa" w:w="19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1 week</w:t>
            </w:r>
          </w:p>
        </w:tc>
        <w:tc>
          <w:tcPr>
            <w:tcW w:type="dxa" w:w="21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Week 10</w:t>
            </w:r>
          </w:p>
        </w:tc>
      </w:tr>
    </w:tbl>
    <w:p>
      <w:pPr>
        <w:pStyle w:val="Heading2"/>
      </w:pPr>
      <w:r>
        <w:t xml:space="preserve">5. ACCEPTANCE CRITERIA</w:t>
      </w:r>
    </w:p>
    <w:p>
      <w:pPr>
        <w:spacing w:after="120" w:before="0" w:line="300"/>
        <w:jc w:val="left"/>
      </w:pPr>
      <w:r>
        <w:t xml:space="preserve">Each milestone shall be deemed accepted upon: (a) demonstration to Client; (b) provision of test reports; (c) Client written sign-off within five (5) business days of demonstration. Absence of written feedback within the said period shall be deemed acceptance.</w:t>
      </w:r>
    </w:p>
    <w:p>
      <w:pPr>
        <w:pStyle w:val="Heading2"/>
      </w:pPr>
      <w:r>
        <w:t xml:space="preserve">6. CHANGE MANAGEMENT</w:t>
      </w:r>
    </w:p>
    <w:p>
      <w:pPr>
        <w:spacing w:after="120" w:before="0" w:line="300"/>
        <w:jc w:val="left"/>
      </w:pPr>
      <w:r>
        <w:t xml:space="preserve">Any change to this SoW (including additional features, scope expansion, or timeline modification) shall be documented through a Change Request signed by both Parties. Changes may impact timelines and fees, which shall be quantified by the Service Provider before execution.</w:t>
      </w:r>
    </w:p>
    <w:p>
      <w:pPr>
        <w:pStyle w:val="Heading2"/>
      </w:pPr>
      <w:r>
        <w:t xml:space="preserve">7. PROJECT GOVERNANCE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780"/>
      </w:tblGrid>
      <w:tr>
        <w:trPr>
          <w:tblHeader/>
        </w:trPr>
        <w:tc>
          <w:tcPr>
            <w:tcW w:type="dxa" w:w="27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Role</w:t>
            </w:r>
          </w:p>
        </w:tc>
        <w:tc>
          <w:tcPr>
            <w:tcW w:type="dxa" w:w="36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Infoloop</w:t>
            </w:r>
          </w:p>
        </w:tc>
        <w:tc>
          <w:tcPr>
            <w:tcW w:type="dxa" w:w="37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Makson</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Executive Sponsor</w:t>
            </w:r>
          </w:p>
        </w:tc>
        <w:tc>
          <w:tcPr>
            <w:tcW w:type="dxa" w:w="3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Mr. Nimit Kaneria (CEO)</w:t>
            </w:r>
          </w:p>
        </w:tc>
        <w:tc>
          <w:tcPr>
            <w:tcW w:type="dxa" w:w="37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Mr. Kalpesh Makasana (Director)</w:t>
            </w:r>
          </w:p>
        </w:tc>
      </w:tr>
      <w:tr>
        <w:tc>
          <w:tcPr>
            <w:tcW w:type="dxa" w:w="2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Project Manager / SPOC</w:t>
            </w:r>
          </w:p>
        </w:tc>
        <w:tc>
          <w:tcPr>
            <w:tcW w:type="dxa" w:w="36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Mr. Nimit Kaneria</w:t>
            </w:r>
          </w:p>
        </w:tc>
        <w:tc>
          <w:tcPr>
            <w:tcW w:type="dxa" w:w="37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Mrs. Komal Makasana</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Communication Cadence</w:t>
            </w:r>
          </w:p>
        </w:tc>
        <w:tc>
          <w:tcPr>
            <w:tcW w:type="dxa" w:w="3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Weekly status updates by email</w:t>
            </w:r>
          </w:p>
        </w:tc>
        <w:tc>
          <w:tcPr>
            <w:tcW w:type="dxa" w:w="37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Bi-weekly review calls</w:t>
            </w:r>
          </w:p>
        </w:tc>
      </w:tr>
      <w:tr>
        <w:tc>
          <w:tcPr>
            <w:tcW w:type="dxa" w:w="2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Issue Escalation Path</w:t>
            </w:r>
          </w:p>
        </w:tc>
        <w:tc>
          <w:tcPr>
            <w:tcW w:type="dxa" w:w="36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Project Manager → Executive Sponsor</w:t>
            </w:r>
          </w:p>
        </w:tc>
        <w:tc>
          <w:tcPr>
            <w:tcW w:type="dxa" w:w="37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Project Manager → Executive Sponsor</w:t>
            </w:r>
          </w:p>
        </w:tc>
      </w:tr>
    </w:tbl>
    <w:p>
      <w:pPr>
        <w:pStyle w:val="Heading2"/>
      </w:pPr>
      <w:r>
        <w:t xml:space="preserve">8. TECHNOLOGY STACK &amp; DEPLOYMENT</w:t>
      </w:r>
    </w:p>
    <w:p>
      <w:pPr>
        <w:pStyle w:val="ListParagraph"/>
        <w:numPr>
          <w:ilvl w:val="0"/>
          <w:numId w:val="2"/>
        </w:numPr>
        <w:spacing w:after="80" w:line="300"/>
      </w:pPr>
      <w:r>
        <w:t xml:space="preserve">Built on the MERN stack: MongoDB (database), Express.js (API framework), React (frontend), Node.js (backend runtime).</w:t>
      </w:r>
    </w:p>
    <w:p>
      <w:pPr>
        <w:pStyle w:val="ListParagraph"/>
        <w:numPr>
          <w:ilvl w:val="0"/>
          <w:numId w:val="2"/>
        </w:numPr>
        <w:spacing w:after="80" w:line="300"/>
      </w:pPr>
      <w:r>
        <w:t xml:space="preserve">Deployed on the Client’s on-premise server provided and maintained by the Client.</w:t>
      </w:r>
    </w:p>
    <w:p>
      <w:pPr>
        <w:pStyle w:val="ListParagraph"/>
        <w:numPr>
          <w:ilvl w:val="0"/>
          <w:numId w:val="2"/>
        </w:numPr>
        <w:spacing w:after="80" w:line="300"/>
      </w:pPr>
      <w:r>
        <w:t xml:space="preserve">Server provisioning, OS hardening, network configuration, and physical security are the Client’s responsibility.</w:t>
      </w:r>
    </w:p>
    <w:p>
      <w:pPr>
        <w:pStyle w:val="ListParagraph"/>
        <w:numPr>
          <w:ilvl w:val="0"/>
          <w:numId w:val="2"/>
        </w:numPr>
        <w:spacing w:after="80" w:line="300"/>
      </w:pPr>
      <w:r>
        <w:t xml:space="preserve">Service Provider shall install all required runtime components (Node.js, MongoDB, PM2, Nginx reverse proxy) and configure the application on the on-premise server.</w:t>
      </w:r>
    </w:p>
    <w:p>
      <w:pPr>
        <w:pStyle w:val="ListParagraph"/>
        <w:numPr>
          <w:ilvl w:val="0"/>
          <w:numId w:val="2"/>
        </w:numPr>
        <w:spacing w:after="80" w:line="300"/>
      </w:pPr>
      <w:r>
        <w:t xml:space="preserve">Full source code delivered to the Client via Git repository handover (private repository or USB transfer at Client’s preference).</w:t>
      </w:r>
    </w:p>
    <w:p>
      <w:pPr>
        <w:pStyle w:val="ListParagraph"/>
        <w:numPr>
          <w:ilvl w:val="0"/>
          <w:numId w:val="2"/>
        </w:numPr>
        <w:spacing w:after="80" w:line="300"/>
      </w:pPr>
      <w:r>
        <w:t xml:space="preserve">Database admin credentials and application admin credentials transferred to the Client’s nominated administrator.</w:t>
      </w:r>
    </w:p>
    <w:p>
      <w:pPr>
        <w:pStyle w:val="ListParagraph"/>
        <w:numPr>
          <w:ilvl w:val="0"/>
          <w:numId w:val="2"/>
        </w:numPr>
        <w:spacing w:after="80" w:line="300"/>
      </w:pPr>
      <w:r>
        <w:t xml:space="preserve">Three (3) months free post-deployment support included.</w:t>
      </w:r>
    </w:p>
    <w:p>
      <w:pPr>
        <w:pStyle w:val="ListParagraph"/>
        <w:numPr>
          <w:ilvl w:val="0"/>
          <w:numId w:val="2"/>
        </w:numPr>
        <w:spacing w:after="80" w:line="300"/>
      </w:pPr>
      <w:r>
        <w:t xml:space="preserve">Optional Annual Maintenance Contract (AMC) at separately agreed terms.</w:t>
      </w:r>
    </w:p>
    <w:p>
      <w:pPr>
        <w:pStyle w:val="Heading2"/>
      </w:pPr>
      <w:r>
        <w:t xml:space="preserve">9. ASSUMPTIONS &amp; DEPENDENCIES</w:t>
      </w:r>
    </w:p>
    <w:p>
      <w:pPr>
        <w:pStyle w:val="ListParagraph"/>
        <w:numPr>
          <w:ilvl w:val="0"/>
          <w:numId w:val="2"/>
        </w:numPr>
        <w:spacing w:after="80" w:line="300"/>
      </w:pPr>
      <w:r>
        <w:t xml:space="preserve">Client shall provide a single point of contact authorised to make decisions.</w:t>
      </w:r>
    </w:p>
    <w:p>
      <w:pPr>
        <w:pStyle w:val="ListParagraph"/>
        <w:numPr>
          <w:ilvl w:val="0"/>
          <w:numId w:val="2"/>
        </w:numPr>
        <w:spacing w:after="80" w:line="300"/>
      </w:pPr>
      <w:r>
        <w:t xml:space="preserve">Client shall provide an on-premise server meeting the minimum specifications shared by the Service Provider (Linux OS, minimum 8 GB RAM, 250 GB SSD, static IP, regular automated backups), with administrative access for installation and configuration.</w:t>
      </w:r>
    </w:p>
    <w:p>
      <w:pPr>
        <w:pStyle w:val="ListParagraph"/>
        <w:numPr>
          <w:ilvl w:val="0"/>
          <w:numId w:val="2"/>
        </w:numPr>
        <w:spacing w:after="80" w:line="300"/>
      </w:pPr>
      <w:r>
        <w:t xml:space="preserve">Client shall ensure the on-premise server has stable power, network connectivity, and is reachable from all factory locations where biometric devices are installed.</w:t>
      </w:r>
    </w:p>
    <w:p>
      <w:pPr>
        <w:pStyle w:val="ListParagraph"/>
        <w:numPr>
          <w:ilvl w:val="0"/>
          <w:numId w:val="2"/>
        </w:numPr>
        <w:spacing w:after="80" w:line="300"/>
      </w:pPr>
      <w:r>
        <w:t xml:space="preserve">Client shall ensure biometric devices are operational and configured to push data to the on-premise server.</w:t>
      </w:r>
    </w:p>
    <w:p>
      <w:pPr>
        <w:pStyle w:val="ListParagraph"/>
        <w:numPr>
          <w:ilvl w:val="0"/>
          <w:numId w:val="2"/>
        </w:numPr>
        <w:spacing w:after="80" w:line="300"/>
      </w:pPr>
      <w:r>
        <w:t xml:space="preserve">Client shall replace any non-eSSL legacy biometric devices found incompatible with MAMS, at Client cost.</w:t>
      </w:r>
    </w:p>
    <w:p>
      <w:pPr>
        <w:pStyle w:val="ListParagraph"/>
        <w:numPr>
          <w:ilvl w:val="0"/>
          <w:numId w:val="2"/>
        </w:numPr>
        <w:spacing w:after="80" w:line="300"/>
      </w:pPr>
      <w:r>
        <w:t xml:space="preserve">Client shall be responsible for server maintenance, OS patches, backups, and disaster recovery after handover.</w:t>
      </w:r>
    </w:p>
    <w:p>
      <w:pPr>
        <w:pStyle w:val="ListParagraph"/>
        <w:numPr>
          <w:ilvl w:val="0"/>
          <w:numId w:val="2"/>
        </w:numPr>
        <w:spacing w:after="80" w:line="300"/>
      </w:pPr>
      <w:r>
        <w:t xml:space="preserve">Client shall provide a complete and accurate list of employees, factory locations, and shift configurations within the first week.</w:t>
      </w:r>
    </w:p>
    <w:p>
      <w:pPr>
        <w:pStyle w:val="ListParagraph"/>
        <w:numPr>
          <w:ilvl w:val="0"/>
          <w:numId w:val="2"/>
        </w:numPr>
        <w:spacing w:after="80" w:line="300"/>
      </w:pPr>
      <w:r>
        <w:t xml:space="preserve">Client shall provide brand assets (logo, favicon) and compliance details (CIN, GSTIN, PF, ESI, Factory Licence) within the first two weeks.</w:t>
      </w:r>
    </w:p>
    <w:p>
      <w:pPr>
        <w:pStyle w:val="ListParagraph"/>
        <w:numPr>
          <w:ilvl w:val="0"/>
          <w:numId w:val="2"/>
        </w:numPr>
        <w:spacing w:after="80" w:line="300"/>
      </w:pPr>
      <w:r>
        <w:t xml:space="preserve">All approvals shall be provided within five (5) business days; delays may proportionally extend the timeline.</w:t>
      </w:r>
    </w:p>
    <w:p>
      <w:pPr>
        <w:spacing w:after="360"/>
      </w:pPr>
      <w:r>
        <w:t xml:space="preserve"/>
      </w:r>
    </w:p>
    <w:p>
      <w:pPr>
        <w:spacing w:after="120" w:before="0" w:line="300"/>
        <w:jc w:val="left"/>
      </w:pPr>
      <w:r>
        <w:rPr>
          <w:b/>
          <w:bCs/>
        </w:rPr>
        <w:t xml:space="preserve">Signed in token of acceptance:</w:t>
      </w:r>
    </w:p>
    <w:p>
      <w:pPr>
        <w:spacing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A9931" w:sz="16"/>
              <w:left w:val="single" w:color="5A9931" w:sz="24"/>
              <w:bottom w:val="single" w:color="5A9931" w:sz="16"/>
              <w:right w:val="single" w:color="5A9931" w:sz="4"/>
            </w:tcBorders>
            <w:shd w:fill="FFFFFF" w:val="clear"/>
            <w:tcMar>
              <w:top w:type="dxa" w:w="180"/>
              <w:left w:type="dxa" w:w="240"/>
              <w:bottom w:type="dxa" w:w="180"/>
              <w:right w:type="dxa" w:w="200"/>
            </w:tcMar>
          </w:tcPr>
          <w:p>
            <w:pPr>
              <w:spacing w:after="0" w:line="300"/>
            </w:pPr>
            <w:r>
              <w:rPr>
                <w:b/>
                <w:bCs/>
                <w:color w:val="5A9931"/>
                <w:sz w:val="20"/>
                <w:szCs w:val="20"/>
              </w:rPr>
              <w:t xml:space="preserve">E-SIGNATURE INSTRUCTIONS:  </w:t>
            </w:r>
            <w:r>
              <w:rPr>
                <w:color w:val="030B18"/>
                <w:sz w:val="18"/>
                <w:szCs w:val="18"/>
              </w:rPr>
              <w:t xml:space="preserve">This document may be signed electronically. To e-sign, click inside the signature box below and insert your signature image (Insert → Pictures), or use any e-signing platform such as DocuSign, Adobe Sign, Zoho Sign, or Drop Sign. A scanned wet signature pasted into the signature box is equally valid. Both Parties agree that electronic signatures shall have the same legal effect as physical signatures under the Information Technology Act, 2000.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b/>
                <w:bCs/>
                <w:color w:val="1D5DBF"/>
                <w:sz w:val="18"/>
                <w:szCs w:val="18"/>
              </w:rPr>
              <w:t xml:space="preserve">For INFOLOOP TECHNOLOGIES LLP</w:t>
            </w:r>
          </w:p>
          <w:p>
            <w:pPr>
              <w:spacing w:after="80"/>
            </w:pPr>
            <w:r>
              <w:rPr>
                <w:b/>
                <w:bCs/>
                <w:color w:val="4e5d78"/>
                <w:sz w:val="18"/>
                <w:szCs w:val="18"/>
              </w:rPr>
              <w:t xml:space="preserve">Signature:</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rPr>
                <w:trHeight w:val="1100" w:hRule="atLeast"/>
              </w:trPr>
              <w:tc>
                <w:tcPr>
                  <w:tcW w:type="dxa" w:w="4440"/>
                  <w:tcBorders>
                    <w:top w:val="single" w:color="E2E6ED" w:sz="8"/>
                    <w:left w:val="single" w:color="E2E6ED" w:sz="8"/>
                    <w:bottom w:val="single" w:color="E2E6ED" w:sz="8"/>
                    <w:right w:val="single" w:color="E2E6ED" w:sz="8"/>
                  </w:tcBorders>
                  <w:tcMar>
                    <w:top w:type="dxa" w:w="80"/>
                    <w:left w:type="dxa" w:w="100"/>
                    <w:bottom w:type="dxa" w:w="80"/>
                    <w:right w:type="dxa" w:w="100"/>
                  </w:tcMar>
                </w:tcPr>
                <w:p>
                  <w:pPr>
                    <w:spacing w:after="0"/>
                  </w:pPr>
                  <w:r>
                    <w:t xml:space="preserve"/>
                  </w:r>
                </w:p>
              </w:tc>
            </w:tr>
          </w:tbl>
          <w:p>
            <w:pPr>
              <w:spacing w:after="40" w:before="120"/>
            </w:pPr>
            <w:r>
              <w:rPr>
                <w:b/>
                <w:bCs/>
                <w:color w:val="4e5d78"/>
                <w:sz w:val="18"/>
                <w:szCs w:val="18"/>
              </w:rPr>
              <w:t xml:space="preserve">Name: </w:t>
            </w:r>
            <w:r>
              <w:rPr>
                <w:b/>
                <w:bCs/>
                <w:color w:val="030B18"/>
                <w:sz w:val="20"/>
                <w:szCs w:val="20"/>
              </w:rPr>
              <w:t xml:space="preserve">Mr. Nimit Kaneria</w:t>
            </w:r>
          </w:p>
          <w:p>
            <w:pPr>
              <w:spacing w:after="40"/>
            </w:pPr>
            <w:r>
              <w:rPr>
                <w:b/>
                <w:bCs/>
                <w:color w:val="4e5d78"/>
                <w:sz w:val="18"/>
                <w:szCs w:val="18"/>
              </w:rPr>
              <w:t xml:space="preserve">Designation: </w:t>
            </w:r>
            <w:r>
              <w:rPr>
                <w:color w:val="030B18"/>
                <w:sz w:val="18"/>
                <w:szCs w:val="18"/>
              </w:rPr>
              <w:t xml:space="preserve">Designated Partner &amp; CEO</w:t>
            </w:r>
          </w:p>
          <w:p>
            <w:pPr>
              <w:spacing w:after="40"/>
            </w:pPr>
            <w:r>
              <w:rPr>
                <w:b/>
                <w:bCs/>
                <w:color w:val="4e5d78"/>
                <w:sz w:val="18"/>
                <w:szCs w:val="18"/>
              </w:rPr>
              <w:t xml:space="preserve">Date: </w:t>
            </w:r>
            <w:r>
              <w:rPr>
                <w:color w:val="8492a6"/>
                <w:sz w:val="18"/>
                <w:szCs w:val="18"/>
              </w:rPr>
              <w:t xml:space="preserve">_____________________</w:t>
            </w:r>
          </w:p>
          <w:p>
            <w:pPr>
              <w:spacing w:after="40"/>
            </w:pPr>
            <w:r>
              <w:rPr>
                <w:b/>
                <w:bCs/>
                <w:color w:val="4e5d78"/>
                <w:sz w:val="18"/>
                <w:szCs w:val="18"/>
              </w:rPr>
              <w:t xml:space="preserve">Place: </w:t>
            </w:r>
            <w:r>
              <w:rPr>
                <w:color w:val="8492a6"/>
                <w:sz w:val="18"/>
                <w:szCs w:val="18"/>
              </w:rPr>
              <w:t xml:space="preserve">_____________________</w:t>
            </w:r>
          </w:p>
        </w:tc>
        <w:tc>
          <w:tcPr>
            <w:tcW w:type="dxa" w:w="50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b/>
                <w:bCs/>
                <w:color w:val="1D5DBF"/>
                <w:sz w:val="18"/>
                <w:szCs w:val="18"/>
              </w:rPr>
              <w:t xml:space="preserve">For MAKSON PHARMACEUTICALS (INDIA) PRIVATE LIMITED</w:t>
            </w:r>
          </w:p>
          <w:p>
            <w:pPr>
              <w:spacing w:after="80"/>
            </w:pPr>
            <w:r>
              <w:rPr>
                <w:b/>
                <w:bCs/>
                <w:color w:val="4e5d78"/>
                <w:sz w:val="18"/>
                <w:szCs w:val="18"/>
              </w:rPr>
              <w:t xml:space="preserve">Signature:</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rPr>
                <w:trHeight w:val="1100" w:hRule="atLeast"/>
              </w:trPr>
              <w:tc>
                <w:tcPr>
                  <w:tcW w:type="dxa" w:w="4440"/>
                  <w:tcBorders>
                    <w:top w:val="single" w:color="E2E6ED" w:sz="8"/>
                    <w:left w:val="single" w:color="E2E6ED" w:sz="8"/>
                    <w:bottom w:val="single" w:color="E2E6ED" w:sz="8"/>
                    <w:right w:val="single" w:color="E2E6ED" w:sz="8"/>
                  </w:tcBorders>
                  <w:tcMar>
                    <w:top w:type="dxa" w:w="80"/>
                    <w:left w:type="dxa" w:w="100"/>
                    <w:bottom w:type="dxa" w:w="80"/>
                    <w:right w:type="dxa" w:w="100"/>
                  </w:tcMar>
                </w:tcPr>
                <w:p>
                  <w:pPr>
                    <w:spacing w:after="0"/>
                  </w:pPr>
                  <w:r>
                    <w:t xml:space="preserve"/>
                  </w:r>
                </w:p>
              </w:tc>
            </w:tr>
          </w:tbl>
          <w:p>
            <w:pPr>
              <w:spacing w:after="40" w:before="120"/>
            </w:pPr>
            <w:r>
              <w:rPr>
                <w:b/>
                <w:bCs/>
                <w:color w:val="4e5d78"/>
                <w:sz w:val="18"/>
                <w:szCs w:val="18"/>
              </w:rPr>
              <w:t xml:space="preserve">Name: </w:t>
            </w:r>
            <w:r>
              <w:rPr>
                <w:b/>
                <w:bCs/>
                <w:color w:val="030B18"/>
                <w:sz w:val="20"/>
                <w:szCs w:val="20"/>
              </w:rPr>
              <w:t xml:space="preserve">Mrs. Komal Makasana</w:t>
            </w:r>
          </w:p>
          <w:p>
            <w:pPr>
              <w:spacing w:after="40"/>
            </w:pPr>
            <w:r>
              <w:rPr>
                <w:b/>
                <w:bCs/>
                <w:color w:val="4e5d78"/>
                <w:sz w:val="18"/>
                <w:szCs w:val="18"/>
              </w:rPr>
              <w:t xml:space="preserve">Designation: </w:t>
            </w:r>
            <w:r>
              <w:rPr>
                <w:color w:val="030B18"/>
                <w:sz w:val="18"/>
                <w:szCs w:val="18"/>
              </w:rPr>
              <w:t xml:space="preserve">CFO &amp; Partner</w:t>
            </w:r>
          </w:p>
          <w:p>
            <w:pPr>
              <w:spacing w:after="40"/>
            </w:pPr>
            <w:r>
              <w:rPr>
                <w:b/>
                <w:bCs/>
                <w:color w:val="4e5d78"/>
                <w:sz w:val="18"/>
                <w:szCs w:val="18"/>
              </w:rPr>
              <w:t xml:space="preserve">Date: </w:t>
            </w:r>
            <w:r>
              <w:rPr>
                <w:color w:val="8492a6"/>
                <w:sz w:val="18"/>
                <w:szCs w:val="18"/>
              </w:rPr>
              <w:t xml:space="preserve">_____________________</w:t>
            </w:r>
          </w:p>
          <w:p>
            <w:pPr>
              <w:spacing w:after="40"/>
            </w:pPr>
            <w:r>
              <w:rPr>
                <w:b/>
                <w:bCs/>
                <w:color w:val="4e5d78"/>
                <w:sz w:val="18"/>
                <w:szCs w:val="18"/>
              </w:rPr>
              <w:t xml:space="preserve">Place: </w:t>
            </w:r>
            <w:r>
              <w:rPr>
                <w:color w:val="8492a6"/>
                <w:sz w:val="18"/>
                <w:szCs w:val="18"/>
              </w:rPr>
              <w:t xml:space="preserve">_____________________</w:t>
            </w:r>
          </w:p>
        </w:tc>
      </w:tr>
    </w:tbl>
    <w:sectPr>
      <w:headerReference w:type="default" r:id="rId7"/>
      <w:footerReference w:type="default" r:id="rId8"/>
      <w:pgSz w:w="11906" w:h="16838" w:orient="portrait"/>
      <w:pgMar w:top="16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D" w:sz="4" w:space="4"/>
      </w:pBdr>
      <w:spacing w:before="60"/>
      <w:jc w:val="center"/>
    </w:pPr>
    <w:r>
      <w:rPr>
        <w:color w:val="8492a6"/>
        <w:sz w:val="14"/>
        <w:szCs w:val="14"/>
      </w:rPr>
      <w:t xml:space="preserve">Confidential  |  Infoloop Technologies LLP  |  Suite 1101, Rajhans Skylar, Udhna Magdalla Rd, Surat 395007  |  GSTIN: 24AAKFI1283K1Z8  |  Page </w:t>
    </w:r>
    <w:r>
      <w:rPr>
        <w:color w:val="8492a6"/>
        <w:sz w:val="14"/>
        <w:szCs w:val="14"/>
      </w:rPr>
      <w:fldChar w:fldCharType="begin"/>
      <w:instrText xml:space="preserve">PAGE</w:instrText>
      <w:fldChar w:fldCharType="separate"/>
      <w:fldChar w:fldCharType="end"/>
    </w:r>
    <w:r>
      <w:rPr>
        <w:color w:val="8492a6"/>
        <w:sz w:val="14"/>
        <w:szCs w:val="14"/>
      </w:rPr>
      <w:t xml:space="preserve"> of </w:t>
    </w:r>
    <w:r>
      <w:rPr>
        <w:color w:val="8492a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drawing>
        <wp:inline distT="0" distB="0" distL="0" distR="0">
          <wp:extent cx="1238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619125"/>
                  </a:xfrm>
                  <a:prstGeom prst="rect">
                    <a:avLst/>
                  </a:prstGeom>
                </pic:spPr>
              </pic:pic>
            </a:graphicData>
          </a:graphic>
        </wp:inline>
      </w:drawing>
    </w:r>
  </w:p>
  <w:p>
    <w:pPr>
      <w:pBdr>
        <w:bottom w:val="single" w:color="1D5DBF" w:sz="8" w:space="4"/>
      </w:pBdr>
      <w:spacing w:after="0"/>
      <w:jc w:val="right"/>
    </w:pPr>
    <w:r>
      <w:rPr>
        <w:i/>
        <w:iCs/>
        <w:color w:val="4e5d78"/>
        <w:sz w:val="18"/>
        <w:szCs w:val="18"/>
      </w:rPr>
      <w:t xml:space="preserve">Statement of Work — MAMS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30B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D5DB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D5DB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030B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d49e7b1c26026a6e9a3aa15ef84ff97c5c6f4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2026-04-15T08:36:11.608Z</dcterms:created>
  <dcterms:modified xsi:type="dcterms:W3CDTF">2026-04-15T08:36:11.609Z</dcterms:modified>
</cp:coreProperties>
</file>

<file path=docProps/custom.xml><?xml version="1.0" encoding="utf-8"?>
<Properties xmlns="http://schemas.openxmlformats.org/officeDocument/2006/custom-properties" xmlns:vt="http://schemas.openxmlformats.org/officeDocument/2006/docPropsVTypes"/>
</file>