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DBF"/>
          <w:sz w:val="44"/>
          <w:szCs w:val="44"/>
        </w:rPr>
        <w:t xml:space="preserve">PROFORMA INVOICE</w:t>
      </w:r>
    </w:p>
    <w:p>
      <w:pPr>
        <w:spacing w:after="360"/>
        <w:jc w:val="center"/>
      </w:pPr>
      <w:r>
        <w:rPr>
          <w:i/>
          <w:iCs/>
          <w:color w:val="4e5d78"/>
          <w:sz w:val="22"/>
          <w:szCs w:val="22"/>
        </w:rPr>
        <w:t xml:space="preserve">(50% Token Payment for Project Kickoff — Advance Payment Request)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D5DBF"/>
                <w:sz w:val="20"/>
                <w:szCs w:val="20"/>
              </w:rPr>
              <w:t xml:space="preserve">FROM (Service Provider)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INFOLOOP TECHNOLOGIES LLP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Suite 1101, Rajhans Skylar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Udhna Magdalla Road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Surat, Gujarat 395007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India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Email: Sales@infoloop.co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Phone: +91 97261 81000</w:t>
            </w:r>
          </w:p>
          <w:p>
            <w:pPr>
              <w:spacing w:after="30"/>
            </w:pPr>
            <w:r>
              <w:rPr>
                <w:color w:val="4e5d78"/>
                <w:sz w:val="18"/>
                <w:szCs w:val="18"/>
              </w:rPr>
              <w:t xml:space="preserve">GSTIN: 24AAKFI1283K1Z8</w:t>
            </w:r>
          </w:p>
          <w:p>
            <w:pPr>
              <w:spacing w:after="30"/>
            </w:pPr>
            <w:r>
              <w:rPr>
                <w:color w:val="4e5d78"/>
                <w:sz w:val="18"/>
                <w:szCs w:val="18"/>
              </w:rPr>
              <w:t xml:space="preserve">PAN: AAKFI1283K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D5DBF"/>
                <w:sz w:val="20"/>
                <w:szCs w:val="20"/>
              </w:rPr>
              <w:t xml:space="preserve">BILL TO (Client)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MAKSON PHARMACEUTICALS (INDIA) PRIVATE LIMITED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195, Rajkot Highway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Surendranagar, Wadhwancity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Gujarat 363020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India</w:t>
            </w:r>
          </w:p>
          <w:p>
            <w:pPr>
              <w:spacing w:after="30"/>
            </w:pPr>
            <w:r>
              <w:rPr>
                <w:sz w:val="20"/>
                <w:szCs w:val="20"/>
              </w:rPr>
              <w:t xml:space="preserve">Attn: Mrs. Komal Makasana</w:t>
            </w:r>
          </w:p>
          <w:p>
            <w:pPr>
              <w:spacing w:after="30"/>
            </w:pPr>
            <w:r>
              <w:rPr>
                <w:color w:val="4e5d78"/>
                <w:sz w:val="18"/>
                <w:szCs w:val="18"/>
              </w:rPr>
              <w:t xml:space="preserve">CIN: U24231GJ1986PTC008718</w:t>
            </w:r>
          </w:p>
          <w:p>
            <w:pPr>
              <w:spacing w:after="30"/>
            </w:pPr>
            <w:r>
              <w:rPr>
                <w:color w:val="4e5d78"/>
                <w:sz w:val="18"/>
                <w:szCs w:val="18"/>
              </w:rPr>
              <w:t xml:space="preserve">GSTIN: 24AABCM2806L1ZM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</w:rPr>
              <w:t xml:space="preserve">Proforma Invoice No.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ITL/PI/MAKSON/2026-04-001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</w:rPr>
              <w:t xml:space="preserve">Issue Date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20 April 2026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</w:rPr>
              <w:t xml:space="preserve">Due Date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27 April 2026 (within 7 business days)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</w:rPr>
              <w:t xml:space="preserve">Project Reference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MAMS — Makson Attendance Management System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</w:rPr>
              <w:t xml:space="preserve">MSA Reference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ITL/MSA/MAKSON/2026-04-001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</w:rPr>
              <w:t xml:space="preserve">Place of Supply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Gujarat (State Code 24)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</w:pPr>
      <w:r>
        <w:t xml:space="preserve">LINE ITEMS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800"/>
        <w:gridCol w:w="1480"/>
        <w:gridCol w:w="20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</w:rPr>
              <w:t xml:space="preserve">Sr.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</w:rPr>
              <w:t xml:space="preserve">HSN/SAC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</w:rPr>
              <w:t xml:space="preserve">Amount (INR)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1</w:t>
            </w:r>
          </w:p>
        </w:tc>
        <w:tc>
          <w:tcPr>
            <w:tcW w:type="dxa" w:w="7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Token / Kickoff Payment — 50% advance for design, development &amp; deployment of MAMS as per MSA &amp; SoW dated 20 April 2026</w:t>
            </w:r>
          </w:p>
        </w:tc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998314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3,75,000.00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TAX CALCULATION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1900"/>
        <w:gridCol w:w="3680"/>
      </w:tblGrid>
      <w:tr>
        <w:trPr>
          <w:tblHeader/>
        </w:trP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</w:rPr>
              <w:t xml:space="preserve">Particulars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</w:rPr>
              <w:t xml:space="preserve">Rate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</w:rPr>
              <w:t xml:space="preserve">Amount (INR)</w:t>
            </w:r>
          </w:p>
        </w:tc>
      </w:tr>
      <w:t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Taxable Value (Subtotal)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—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3,75,000.00</w:t>
            </w:r>
          </w:p>
        </w:tc>
      </w:tr>
      <w:t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CGST (intra-state, Gujarat to Gujarat)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9%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33,750.00</w:t>
            </w:r>
          </w:p>
        </w:tc>
      </w:tr>
      <w:t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SGST (intra-state, Gujarat to Gujarat)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9%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33,750.00</w:t>
            </w:r>
          </w:p>
        </w:tc>
      </w:tr>
      <w:t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IGST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0%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0.00</w:t>
            </w:r>
          </w:p>
        </w:tc>
      </w:tr>
      <w:t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/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/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5580"/>
      </w:tblGrid>
      <w:tr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FFFFFF"/>
              </w:rPr>
              <w:t xml:space="preserve">TOTAL AMOUNT PAYABLE</w:t>
            </w:r>
          </w:p>
        </w:tc>
        <w:tc>
          <w:tcPr>
            <w:tcW w:type="dxa" w:w="5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D5DB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right"/>
            </w:pPr>
            <w:r>
              <w:rPr>
                <w:b/>
                <w:bCs/>
                <w:color w:val="FFFFFF"/>
              </w:rPr>
              <w:t xml:space="preserve">INR 4,42,500.00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0" w:line="300"/>
        <w:jc w:val="left"/>
      </w:pPr>
      <w:r>
        <w:rPr>
          <w:b/>
          <w:bCs/>
          <w:i/>
          <w:iCs/>
        </w:rPr>
        <w:t xml:space="preserve">Amount in words: Indian Rupees Four Lakh Forty-Two Thousand Five Hundred Only.</w:t>
      </w:r>
    </w:p>
    <w:p>
      <w:pPr>
        <w:spacing w:after="280"/>
      </w:pPr>
      <w:r>
        <w:t xml:space="preserve"/>
      </w:r>
    </w:p>
    <w:p>
      <w:pPr>
        <w:pStyle w:val="Heading2"/>
      </w:pPr>
      <w:r>
        <w:t xml:space="preserve">PAYMENT INSTRUCTIONS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</w:rPr>
              <w:t xml:space="preserve">Account Name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Infoloop Technologies LLP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</w:rPr>
              <w:t xml:space="preserve">Account Type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Current Account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</w:rPr>
              <w:t xml:space="preserve">Account Number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50200084224282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</w:rPr>
              <w:t xml:space="preserve">IFSC Code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HDFC0000067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</w:rPr>
              <w:t xml:space="preserve">Bank Branch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HDFC Bank — Parle Point, Surat, Gujarat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</w:rPr>
              <w:t xml:space="preserve">MMID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9240884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rPr>
                <w:b/>
                <w:bCs/>
                <w:color w:val="1D5DBF"/>
              </w:rPr>
              <w:t xml:space="preserve">UPI / VPA</w:t>
            </w:r>
          </w:p>
        </w:tc>
        <w:tc>
          <w:tcPr>
            <w:tcW w:type="dxa" w:w="7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0"/>
              <w:jc w:val="left"/>
            </w:pPr>
            <w:r>
              <w:t xml:space="preserve">9726181000@hdfcbank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2"/>
      </w:pPr>
      <w:r>
        <w:t xml:space="preserve">TERMS &amp; CONDITIONS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Payment is due within seven (7) business days from the proforma issue date.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This is a Proforma Invoice issued for advance payment purposes; a Tax Invoice (with GST claimable for input credit) shall be issued upon receipt of the token payment.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Project work shall commence upon receipt of this token payment and signed MSA + SoW + NDA + DPA.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Late payment beyond fifteen (15) days from issue date shall attract simple interest at 1.5% per month, applicable from the Tax Invoice date.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Token payment is non-refundable, except in cases of termination by Client for material breach by Service Provider as per MSA Clause 13.2(a).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GST shall be charged as per the prevailing rate (18%) under SAC code 998314 (IT design and development services) on the corresponding Tax Invoice.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Subject to Surat jurisdiction.</w:t>
      </w:r>
    </w:p>
    <w:p>
      <w:pPr>
        <w:spacing w:after="360"/>
      </w:pPr>
      <w:r>
        <w:t xml:space="preserve"/>
      </w:r>
    </w:p>
    <w:p>
      <w:pPr>
        <w:spacing w:after="120" w:before="0" w:line="300"/>
        <w:jc w:val="left"/>
      </w:pPr>
      <w:r>
        <w:rPr>
          <w:i/>
          <w:iCs/>
          <w:color w:val="4e5d78"/>
          <w:sz w:val="18"/>
          <w:szCs w:val="18"/>
        </w:rPr>
        <w:t xml:space="preserve">This is a Proforma Invoice and is NOT a Tax Invoice under the Goods and Services Tax (GST) Act, 2017. It is issued solely for the purpose of requesting advance payment. A valid Tax Invoice shall be issued by Infoloop Technologies LLP upon receipt of the payment, against which the Client may claim input tax credit (ITC) as per applicable GST law.</w:t>
      </w:r>
    </w:p>
    <w:p>
      <w:pPr>
        <w:spacing w:after="160"/>
      </w:pPr>
      <w:r>
        <w:t xml:space="preserve"/>
      </w:r>
    </w:p>
    <w:p>
      <w:pPr>
        <w:spacing w:after="120" w:before="0" w:line="300"/>
        <w:jc w:val="left"/>
      </w:pPr>
      <w:r>
        <w:rPr>
          <w:i/>
          <w:iCs/>
          <w:color w:val="8492a6"/>
          <w:sz w:val="18"/>
          <w:szCs w:val="18"/>
        </w:rPr>
        <w:t xml:space="preserve">Electronically generated by Infoloop Technologies LLP. This is a computer-generated proforma invoice and does not require a physical signature, but has been signed below for authentication.</w:t>
      </w:r>
    </w:p>
    <w:p>
      <w:pPr>
        <w:spacing w:after="2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  <w:color w:val="1D5DBF"/>
                <w:sz w:val="18"/>
                <w:szCs w:val="18"/>
              </w:rPr>
              <w:t xml:space="preserve">For INFOLOOP TECHNOLOGIES LLP</w:t>
            </w:r>
          </w:p>
          <w:p>
            <w:pPr>
              <w:spacing w:after="80"/>
            </w:pPr>
            <w:r>
              <w:rPr>
                <w:b/>
                <w:bCs/>
                <w:color w:val="4e5d78"/>
                <w:sz w:val="18"/>
                <w:szCs w:val="18"/>
              </w:rPr>
              <w:t xml:space="preserve">Signature:</w:t>
            </w: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rPr>
                <w:trHeight w:val="1100" w:hRule="atLeast"/>
              </w:trPr>
              <w:tc>
                <w:tcPr>
                  <w:tcW w:type="dxa" w:w="4500"/>
                  <w:tcBorders>
                    <w:top w:val="single" w:color="E2E6ED" w:sz="8"/>
                    <w:left w:val="single" w:color="E2E6ED" w:sz="8"/>
                    <w:bottom w:val="single" w:color="E2E6ED" w:sz="8"/>
                    <w:right w:val="single" w:color="E2E6ED" w:sz="8"/>
                  </w:tcBorders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t xml:space="preserve"/>
                  </w:r>
                </w:p>
              </w:tc>
            </w:tr>
          </w:tbl>
          <w:p>
            <w:pPr>
              <w:spacing w:after="40" w:before="120"/>
            </w:pPr>
            <w:r>
              <w:rPr>
                <w:b/>
                <w:bCs/>
                <w:color w:val="4e5d78"/>
                <w:sz w:val="18"/>
                <w:szCs w:val="18"/>
              </w:rPr>
              <w:t xml:space="preserve">Name: </w:t>
            </w:r>
            <w:r>
              <w:rPr>
                <w:b/>
                <w:bCs/>
                <w:color w:val="030B18"/>
                <w:sz w:val="20"/>
                <w:szCs w:val="20"/>
              </w:rPr>
              <w:t xml:space="preserve">Mr. Nimit Kaneria</w:t>
            </w:r>
          </w:p>
          <w:p>
            <w:pPr>
              <w:spacing w:after="40"/>
            </w:pPr>
            <w:r>
              <w:rPr>
                <w:b/>
                <w:bCs/>
                <w:color w:val="4e5d78"/>
                <w:sz w:val="18"/>
                <w:szCs w:val="18"/>
              </w:rPr>
              <w:t xml:space="preserve">Designation: </w:t>
            </w:r>
            <w:r>
              <w:rPr>
                <w:color w:val="030B18"/>
                <w:sz w:val="18"/>
                <w:szCs w:val="18"/>
              </w:rPr>
              <w:t xml:space="preserve">Designated Partner &amp; CEO (Authorised Signatory)</w:t>
            </w:r>
          </w:p>
          <w:p>
            <w:pPr>
              <w:spacing w:after="40"/>
            </w:pPr>
            <w:r>
              <w:rPr>
                <w:b/>
                <w:bCs/>
                <w:color w:val="4e5d78"/>
                <w:sz w:val="18"/>
                <w:szCs w:val="18"/>
              </w:rPr>
              <w:t xml:space="preserve">Date: </w:t>
            </w:r>
            <w:r>
              <w:rPr>
                <w:color w:val="8492a6"/>
                <w:sz w:val="18"/>
                <w:szCs w:val="18"/>
              </w:rPr>
              <w:t xml:space="preserve">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6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6ED" w:sz="4" w:space="4"/>
      </w:pBdr>
      <w:spacing w:before="60"/>
      <w:jc w:val="center"/>
    </w:pPr>
    <w:r>
      <w:rPr>
        <w:color w:val="8492a6"/>
        <w:sz w:val="14"/>
        <w:szCs w:val="14"/>
      </w:rPr>
      <w:t xml:space="preserve">Confidential  |  Infoloop Technologies LLP  |  Suite 1101, Rajhans Skylar, Udhna Magdalla Rd, Surat 395007  |  GSTIN: 24AAKFI1283K1Z8  |  Page </w:t>
    </w:r>
    <w:r>
      <w:rPr>
        <w:color w:val="8492a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492a6"/>
        <w:sz w:val="14"/>
        <w:szCs w:val="14"/>
      </w:rPr>
      <w:t xml:space="preserve"> of </w:t>
    </w:r>
    <w:r>
      <w:rPr>
        <w:color w:val="8492a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left"/>
    </w:pPr>
    <w:r>
      <w:drawing>
        <wp:inline distT="0" distB="0" distL="0" distR="0">
          <wp:extent cx="1238250" cy="61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1D5DBF" w:sz="8" w:space="4"/>
      </w:pBdr>
      <w:spacing w:after="0"/>
      <w:jc w:val="right"/>
    </w:pPr>
    <w:r>
      <w:rPr>
        <w:i/>
        <w:iCs/>
        <w:color w:val="4e5d78"/>
        <w:sz w:val="18"/>
        <w:szCs w:val="18"/>
      </w:rPr>
      <w:t xml:space="preserve">Proforma Invoice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30B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D5DB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D5DB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30B1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cd49e7b1c26026a6e9a3aa15ef84ff97c5c6f4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2026-04-15T09:27:07.726Z</dcterms:created>
  <dcterms:modified xsi:type="dcterms:W3CDTF">2026-04-15T09:27:07.728Z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