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seguimiento SEPE y manual de instalación</w:t>
      </w:r>
    </w:p>
    <w:p>
      <w:pPr>
        <w:pStyle w:val="Subtitle"/>
      </w:pPr>
      <w:r>
        <w:t>Akacenter y Juan Pablo  |  Segunda ventana de 2025  |  Versión 2.0  |  26 de octubre de 2026</w:t>
      </w:r>
    </w:p>
    <w:p>
      <w:r>
        <w:t>La cartera contiene 10 expedientes y 13 bloques de entidad, con 163 filas de programación y 2.929 participaciones previstas. El primer paso es resolver las discrepancias documentales y conectar los resultados de gestión. Las matrículas, por sí solas, no acreditan finalización ni cumplimiento del expediente.</w:t>
      </w:r>
    </w:p>
    <w:tbl>
      <w:tblPr>
        <w:tblW w:type="auto" w:w="0"/>
        <w:jc w:val="center"/>
        <w:tblLayout w:type="fixed"/>
        <w:tblLook w:firstColumn="1" w:firstRow="1" w:lastColumn="0" w:lastRow="0" w:noHBand="0" w:noVBand="1" w:val="04A0"/>
      </w:tblPr>
      <w:tblGrid>
        <w:gridCol w:w="3742"/>
        <w:gridCol w:w="1871"/>
        <w:gridCol w:w="850"/>
        <w:gridCol w:w="2154"/>
      </w:tblGrid>
      <w:tr>
        <w:trPr>
          <w:cantSplit/>
          <w:tblHeader/>
        </w:trPr>
        <w:tc>
          <w:tcPr>
            <w:tcW w:type="dxa" w:w="3742"/>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color w:val="FFFFFF"/>
                <w:sz w:val="18"/>
              </w:rPr>
              <w:t>Entidad y plan</w:t>
            </w:r>
          </w:p>
        </w:tc>
        <w:tc>
          <w:tcPr>
            <w:tcW w:type="dxa" w:w="1871"/>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Expediente</w:t>
            </w:r>
          </w:p>
        </w:tc>
        <w:tc>
          <w:tcPr>
            <w:tcW w:type="dxa" w:w="850"/>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Plazas</w:t>
            </w:r>
          </w:p>
        </w:tc>
        <w:tc>
          <w:tcPr>
            <w:tcW w:type="dxa" w:w="2154"/>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Fin en Excel</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 Educación</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F251838AA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82</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2027-07-16</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 Transversal Autónomos</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F251817AA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130</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2027-10-28</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 Administración</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F251828AA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92</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2027-09-18</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 Transversal</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F251834AA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340</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2027-12-03</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Metal</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F251830AA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157</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2026-09-04</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Hostelería Y Turismo</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F251824AA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263</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2027-10-29</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Comercio</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F251820AA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143</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2027-10-27</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Servicios (Otros)</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F251825AA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132</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2027-10-21</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Transversal Autónomos</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F251817AA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114</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2027-10-28</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Servicios A Empresas</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F251835AA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446</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2026-10-21</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Administración</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F251828AA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100</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2027-09-18</w:t>
            </w:r>
          </w:p>
        </w:tc>
      </w:tr>
      <w:tr>
        <w:trPr>
          <w:cantSplit/>
        </w:trPr>
        <w:tc>
          <w:tcPr>
            <w:tcW w:type="dxa" w:w="374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Hostelería</w:t>
            </w:r>
          </w:p>
        </w:tc>
        <w:tc>
          <w:tcPr>
            <w:tcW w:type="dxa" w:w="187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F251832AA</w:t>
            </w:r>
          </w:p>
        </w:tc>
        <w:tc>
          <w:tcPr>
            <w:tcW w:type="dxa" w:w="85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279</w:t>
            </w:r>
          </w:p>
        </w:tc>
        <w:tc>
          <w:tcPr>
            <w:tcW w:type="dxa" w:w="215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2027-11-19</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 Transversal</w:t>
            </w:r>
          </w:p>
        </w:tc>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F251834AA</w:t>
            </w:r>
          </w:p>
        </w:tc>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651</w:t>
            </w:r>
          </w:p>
        </w:tc>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2027-12-03</w:t>
            </w:r>
          </w:p>
        </w:tc>
      </w:tr>
    </w:tbl>
    <w:p>
      <w:pPr>
        <w:spacing w:after="0"/>
      </w:pPr>
    </w:p>
    <w:p>
      <w:r>
        <w:t>AKA: Akacenter, 644 participaciones. JP: Juan Pablo, 2.285. Son plazas de acciones formativas, no personas únicas. Las sedes desglosadas se conservan; los expedientes compartidos se agrupan por identificador, sin duplicarlos.</w:t>
      </w:r>
    </w:p>
    <w:p>
      <w:r>
        <w:t>Las resoluciones incluyen socios adicionales. La aplicación muestra ejecución local y una muestra del expediente completo; no declara cumplimiento global con solo estas dos empresas. Los objetivos de la programación aún requieren conciliación con el reparto aprobado por entidad y centro.</w:t>
      </w:r>
    </w:p>
    <w:p>
      <w:hyperlink r:id="rId10">
        <w:r>
          <w:rPr>
            <w:color w:val="175943"/>
          </w:rPr>
          <w:t>Abrir la carpeta de documentación aportada</w:t>
        </w:r>
      </w:hyperlink>
    </w:p>
    <w:p>
      <w:pPr>
        <w:pStyle w:val="Heading1"/>
        <w:pageBreakBefore/>
      </w:pPr>
      <w:r>
        <w:t>Discrepancias que requieren actuación</w:t>
      </w:r>
    </w:p>
    <w:p>
      <w:r>
        <w:t>Se han contrastado códigos, modalidad, horas y participantes con las tablas de las diez resoluciones. Hay coincidencias parciales en 157 de las 163 filas; seis contienen discrepancias de catálogo. Además, se registran tres incidencias de fechas y dos normalizaciones de expediente. Una coincidencia parcial no acredita el reparto por centro ni modificaciones posteriores.</w:t>
      </w:r>
    </w:p>
    <w:tbl>
      <w:tblPr>
        <w:tblW w:type="auto" w:w="0"/>
        <w:jc w:val="center"/>
        <w:tblLayout w:type="fixed"/>
        <w:tblLook w:firstColumn="1" w:firstRow="1" w:lastColumn="0" w:lastRow="0" w:noHBand="0" w:noVBand="1" w:val="04A0"/>
      </w:tblPr>
      <w:tblGrid>
        <w:gridCol w:w="1984"/>
        <w:gridCol w:w="2551"/>
        <w:gridCol w:w="4082"/>
      </w:tblGrid>
      <w:tr>
        <w:trPr>
          <w:cantSplit/>
          <w:tblHeader/>
        </w:trPr>
        <w:tc>
          <w:tcPr>
            <w:tcW w:type="dxa" w:w="1984"/>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color w:val="FFFFFF"/>
                <w:sz w:val="18"/>
              </w:rPr>
              <w:t>Bloque</w:t>
            </w:r>
          </w:p>
        </w:tc>
        <w:tc>
          <w:tcPr>
            <w:tcW w:type="dxa" w:w="2551"/>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Celda de PLANES</w:t>
            </w:r>
          </w:p>
        </w:tc>
        <w:tc>
          <w:tcPr>
            <w:tcW w:type="dxa" w:w="4082"/>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Contraste y acción</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Administración</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E15: IFCT00138</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F251828AA p. 7: IFCT0138.</w:t>
            </w:r>
          </w:p>
        </w:tc>
      </w:tr>
      <w:tr>
        <w:trPr>
          <w:cantSplit/>
        </w:trPr>
        <w:tc>
          <w:tcPr>
            <w:tcW w:type="dxa" w:w="19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Comercio</w:t>
            </w:r>
          </w:p>
        </w:tc>
        <w:tc>
          <w:tcPr>
            <w:tcW w:type="dxa" w:w="255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E26: IFCT1153</w:t>
            </w:r>
          </w:p>
        </w:tc>
        <w:tc>
          <w:tcPr>
            <w:tcW w:type="dxa" w:w="408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F251820AA p. 7: IFCT153.</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Autónomos</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G41: 22 plazas en acción 23</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F251817AA p. 8: 10 admitidas. Revisar modificación o error de programación.</w:t>
            </w:r>
          </w:p>
        </w:tc>
      </w:tr>
      <w:tr>
        <w:trPr>
          <w:cantSplit/>
        </w:trPr>
        <w:tc>
          <w:tcPr>
            <w:tcW w:type="dxa" w:w="19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Administración</w:t>
            </w:r>
          </w:p>
        </w:tc>
        <w:tc>
          <w:tcPr>
            <w:tcW w:type="dxa" w:w="255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H73: 30 horas en acción 17</w:t>
            </w:r>
          </w:p>
        </w:tc>
        <w:tc>
          <w:tcPr>
            <w:tcW w:type="dxa" w:w="408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F251828AA p. 7: 25 horas.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Transversal</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E99: ADGD091PO para acción 34</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F251834AA p. 8: ADGD105PO. El título y 8 horas corresponden a regulación de empleo.</w:t>
            </w:r>
          </w:p>
        </w:tc>
      </w:tr>
      <w:tr>
        <w:trPr>
          <w:cantSplit/>
        </w:trPr>
        <w:tc>
          <w:tcPr>
            <w:tcW w:type="dxa" w:w="19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Transversal</w:t>
            </w:r>
          </w:p>
        </w:tc>
        <w:tc>
          <w:tcPr>
            <w:tcW w:type="dxa" w:w="255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G113: 51 plazas en acción 72</w:t>
            </w:r>
          </w:p>
        </w:tc>
        <w:tc>
          <w:tcPr>
            <w:tcW w:type="dxa" w:w="408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Resolución F251834AA p. 10: 15 admitidas.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Metal</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Q2: 2026-09-04</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Fecha ya vencida e incompatible con programación posterior. Confirmar notificación y plazo.</w:t>
            </w:r>
          </w:p>
        </w:tc>
      </w:tr>
      <w:tr>
        <w:trPr>
          <w:cantSplit/>
        </w:trPr>
        <w:tc>
          <w:tcPr>
            <w:tcW w:type="dxa" w:w="19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Servicios a empresas</w:t>
            </w:r>
          </w:p>
        </w:tc>
        <w:tc>
          <w:tcPr>
            <w:tcW w:type="dxa" w:w="255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Q43: 2026-10-21</w:t>
            </w:r>
          </w:p>
        </w:tc>
        <w:tc>
          <w:tcPr>
            <w:tcW w:type="dxa" w:w="408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Fecha ya vencida e incompatible con programación posterior. No se cambia a 2027 sin evidencia.</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Administración</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K74: 2026-12-10</w:t>
              <w:br/>
              <w:t>L74: 2026-01-04</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El fin es anterior al inicio. Confirmar el año correcto.</w:t>
            </w:r>
          </w:p>
        </w:tc>
      </w:tr>
      <w:tr>
        <w:trPr>
          <w:cantSplit/>
        </w:trPr>
        <w:tc>
          <w:tcPr>
            <w:tcW w:type="dxa" w:w="19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AKA Educación</w:t>
            </w:r>
          </w:p>
        </w:tc>
        <w:tc>
          <w:tcPr>
            <w:tcW w:type="dxa" w:w="255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B2: F25I838AA</w:t>
            </w:r>
          </w:p>
        </w:tc>
        <w:tc>
          <w:tcPr>
            <w:tcW w:type="dxa" w:w="408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Relacionado con F251838AA según resolución; se conserva el texto original.</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JP Transversal</w:t>
            </w:r>
          </w:p>
        </w:tc>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B92: F2511834AA</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Relacionado con F251834AA según resolución; se conserva el texto original.</w:t>
            </w:r>
          </w:p>
        </w:tc>
      </w:tr>
    </w:tbl>
    <w:p>
      <w:pPr>
        <w:spacing w:after="0"/>
      </w:pPr>
    </w:p>
    <w:p>
      <w:r>
        <w:t>Las discrepancias impiden generar propuestas automáticas de captación para esas filas. La fecha límite puede confirmarse desde la aplicación con un documento y localizador. Las correcciones de catálogo requieren una migración documentada; no se alteran los Excel originales.</w:t>
      </w:r>
    </w:p>
    <w:p>
      <w:hyperlink r:id="rId11">
        <w:r>
          <w:rPr>
            <w:color w:val="175943"/>
          </w:rPr>
          <w:t>Programación Akacenter</w:t>
        </w:r>
      </w:hyperlink>
    </w:p>
    <w:p>
      <w:hyperlink r:id="rId12">
        <w:r>
          <w:rPr>
            <w:color w:val="175943"/>
          </w:rPr>
          <w:t>Programación Juan Pablo</w:t>
        </w:r>
      </w:hyperlink>
    </w:p>
    <w:p>
      <w:pPr>
        <w:pStyle w:val="Heading1"/>
        <w:pageBreakBefore/>
      </w:pPr>
      <w:r>
        <w:t>Reglas y cálculo trazable</w:t>
      </w:r>
    </w:p>
    <w:p>
      <w:r>
        <w:t>Cada indicador ofrece Ver cálculo y fuente: fórmula, numerador, denominador, IDs incluidos y excluidos, motivo, origen y fecha de actualización. La ausencia de registros se muestra como sin datos. Los agregados de hojas auxiliares permanecen separados de las matrículas individuales.</w:t>
      </w:r>
    </w:p>
    <w:tbl>
      <w:tblPr>
        <w:tblW w:type="auto" w:w="0"/>
        <w:jc w:val="center"/>
        <w:tblLayout w:type="fixed"/>
        <w:tblLook w:firstColumn="1" w:firstRow="1" w:lastColumn="0" w:lastRow="0" w:noHBand="0" w:noVBand="1" w:val="04A0"/>
      </w:tblPr>
      <w:tblGrid>
        <w:gridCol w:w="1701"/>
        <w:gridCol w:w="5159"/>
        <w:gridCol w:w="1757"/>
      </w:tblGrid>
      <w:tr>
        <w:trPr>
          <w:cantSplit/>
          <w:tblHeader/>
        </w:trPr>
        <w:tc>
          <w:tcPr>
            <w:tcW w:type="dxa" w:w="1701"/>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color w:val="FFFFFF"/>
                <w:sz w:val="18"/>
              </w:rPr>
              <w:t>Indicador</w:t>
            </w:r>
          </w:p>
        </w:tc>
        <w:tc>
          <w:tcPr>
            <w:tcW w:type="dxa" w:w="5159"/>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Cálculo o condición</w:t>
            </w:r>
          </w:p>
        </w:tc>
        <w:tc>
          <w:tcPr>
            <w:tcW w:type="dxa" w:w="1757"/>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Referencia</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Ejecución local</w:t>
            </w:r>
          </w:p>
        </w:tc>
        <w:tc>
          <w:tcPr>
            <w:tcW w:type="dxa" w:w="51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Finalizados validados / objetivo de la programación. También se pondera por horas.</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Excel PLANES G y H; anexo VII p. 2</w:t>
            </w:r>
          </w:p>
        </w:tc>
      </w:tr>
      <w:tr>
        <w:trPr>
          <w:cantSplit/>
        </w:trPr>
        <w:tc>
          <w:tcPr>
            <w:tcW w:type="dxa" w:w="170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Desempleados</w:t>
            </w:r>
          </w:p>
        </w:tc>
        <w:tc>
          <w:tcPr>
            <w:tcW w:type="dxa" w:w="5159"/>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D/N ≤ 30 %. Situación laboral al inicio. No existe mínimo obligatorio de desempleo.</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Convocatoria art. 5.1.f y 5.2</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Margen de desempleo</w:t>
            </w:r>
          </w:p>
        </w:tc>
        <w:tc>
          <w:tcPr>
            <w:tcW w:type="dxa" w:w="51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Adicionales = max(0, floor((0,30N − D)/0,70)). El total crece al incorporar alumnos.</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Derivación del límite anterior</w:t>
            </w:r>
          </w:p>
        </w:tc>
      </w:tr>
      <w:tr>
        <w:trPr>
          <w:cantSplit/>
        </w:trPr>
        <w:tc>
          <w:tcPr>
            <w:tcW w:type="dxa" w:w="170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Territorio A2</w:t>
            </w:r>
          </w:p>
        </w:tc>
        <w:tc>
          <w:tcPr>
            <w:tcW w:type="dxa" w:w="5159"/>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CCAA con al menos 5 % de certificados válidos: 2–5 dan 5 puntos; 6–9 dan 12; 10 o más dan 20.</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Anexo VI A.2 pp. 2–3</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Presencial A3</w:t>
            </w:r>
          </w:p>
        </w:tc>
        <w:tc>
          <w:tcPr>
            <w:tcW w:type="dxa" w:w="51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Horas participante certificadas P/aula virtual / horas participante certificadas totales.</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Anexo VI A.3 pp. 3–4</w:t>
            </w:r>
          </w:p>
        </w:tc>
      </w:tr>
      <w:tr>
        <w:trPr>
          <w:cantSplit/>
        </w:trPr>
        <w:tc>
          <w:tcPr>
            <w:tcW w:type="dxa" w:w="170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Prioritarios</w:t>
            </w:r>
          </w:p>
        </w:tc>
        <w:tc>
          <w:tcPr>
            <w:tcW w:type="dxa" w:w="5159"/>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Participantes de algún colectivo / certificados válidos; referencia del 50 %. No duplicar por pertenecer a varios colectivos.</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Convocatoria arts. 7 y 21.13</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Finalizados</w:t>
            </w:r>
          </w:p>
        </w:tc>
        <w:tc>
          <w:tcPr>
            <w:tcW w:type="dxa" w:w="51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General: 75 % de asistencia o controles. Excepciones documentadas y abandonos requieren revisión separada.</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Convocatoria art. 21.9–10</w:t>
            </w:r>
          </w:p>
        </w:tc>
      </w:tr>
      <w:tr>
        <w:trPr>
          <w:cantSplit/>
        </w:trPr>
        <w:tc>
          <w:tcPr>
            <w:tcW w:type="dxa" w:w="170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Otros sectores</w:t>
            </w:r>
          </w:p>
        </w:tc>
        <w:tc>
          <w:tcPr>
            <w:tcW w:type="dxa" w:w="5159"/>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Regla del segundo plazo y denominador pendientes de confirmación. La herramienta no extrapola automáticamente el 30 % del primer plazo.</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Convocatoria art. 5.3</w:t>
            </w:r>
          </w:p>
        </w:tc>
      </w:tr>
    </w:tbl>
    <w:p>
      <w:pPr>
        <w:spacing w:after="0"/>
      </w:pPr>
    </w:p>
    <w:p>
      <w:pPr>
        <w:pStyle w:val="Heading2"/>
      </w:pPr>
      <w:r>
        <w:t>Ejemplo de un margen correcto</w:t>
      </w:r>
    </w:p>
    <w:p>
      <w:r>
        <w:t>Con 100 certificados válidos y 20 desempleados, cabrían 14 desempleados adicionales si todo lo demás permanece igual: 34/114 = 29,82 %. Añadir 15 produciría 35/115 = 30,43 %. Este escenario se limita a la muestra disponible y no autoriza una matrícula.</w:t>
      </w:r>
    </w:p>
    <w:p>
      <w:pPr>
        <w:pStyle w:val="Heading2"/>
      </w:pPr>
      <w:r>
        <w:t>Valoración y minoraciones</w:t>
      </w:r>
    </w:p>
    <w:p>
      <w:r>
        <w:t>Comercio tiene 20 puntos aprobados en A.2; los otros nueve expedientes, 12. Mantenerlos exige respectivamente 10 o 6 CCAA que alcancen el umbral. El ámbito estatal es un control distinto. Fuente: resoluciones p. 3 y anexo VI.</w:t>
      </w:r>
    </w:p>
    <w:p>
      <w:r>
        <w:t>El simulador aplica por separado las escalas de pérdida de valoración técnica y de colectivos prioritarios del anexo VII, pp. 4–5. La interpolación usa dos decimales como hipótesis explícita; el límite 20,01 presenta un solapamiento en la tabla y muestra un rango. No suma penalizaciones ni utiliza la ayuda concedida como base justificada automática.</w:t>
      </w:r>
    </w:p>
    <w:p>
      <w:r>
        <w:t>La VT completa y la financiación de abandonos requieren más datos: clasificación B.1/B.2, resultados válidos y toda la agrupación. No se calcula una liquidación oficial.</w:t>
      </w:r>
    </w:p>
    <w:p>
      <w:pPr>
        <w:pStyle w:val="Heading1"/>
        <w:pageBreakBefore/>
      </w:pPr>
      <w:r>
        <w:t>Estrategia para los cinco gestores</w:t>
      </w:r>
    </w:p>
    <w:p>
      <w:r>
        <w:t>Se propone una cartera común con un responsable por alumno, especialización orientativa y reparto por carga relativa. No conviene asignar una empresa completa a un gestor: los expedientes compartidos y la continuidad entre cursos necesitan coordinación.</w:t>
      </w:r>
    </w:p>
    <w:tbl>
      <w:tblPr>
        <w:tblW w:type="auto" w:w="0"/>
        <w:jc w:val="center"/>
        <w:tblLayout w:type="fixed"/>
        <w:tblLook w:firstColumn="1" w:firstRow="1" w:lastColumn="0" w:lastRow="0" w:noHBand="0" w:noVBand="1" w:val="04A0"/>
      </w:tblPr>
      <w:tblGrid>
        <w:gridCol w:w="1361"/>
        <w:gridCol w:w="3458"/>
        <w:gridCol w:w="1757"/>
        <w:gridCol w:w="2041"/>
      </w:tblGrid>
      <w:tr>
        <w:trPr>
          <w:cantSplit/>
          <w:tblHeader/>
        </w:trPr>
        <w:tc>
          <w:tcPr>
            <w:tcW w:type="dxa" w:w="1361"/>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color w:val="FFFFFF"/>
                <w:sz w:val="18"/>
              </w:rPr>
              <w:t>Gestor</w:t>
            </w:r>
          </w:p>
        </w:tc>
        <w:tc>
          <w:tcPr>
            <w:tcW w:type="dxa" w:w="3458"/>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Foco orientativo</w:t>
            </w:r>
          </w:p>
        </w:tc>
        <w:tc>
          <w:tcPr>
            <w:tcW w:type="dxa" w:w="1757"/>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Capacidad semanal</w:t>
            </w:r>
          </w:p>
        </w:tc>
        <w:tc>
          <w:tcPr>
            <w:tcW w:type="dxa" w:w="2041"/>
            <w:vAlign w:val="center"/>
            <w:shd w:fill="263C4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8"/>
              </w:rPr>
              <w:t>Carga inicial</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Gestor 1</w:t>
            </w:r>
          </w:p>
        </w:tc>
        <w:tc>
          <w:tcPr>
            <w:tcW w:type="dxa" w:w="345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Administración y digital</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25 h</w:t>
            </w:r>
          </w:p>
        </w:tc>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320.8 h</w:t>
            </w:r>
          </w:p>
        </w:tc>
      </w:tr>
      <w:tr>
        <w:trPr>
          <w:cantSplit/>
        </w:trPr>
        <w:tc>
          <w:tcPr>
            <w:tcW w:type="dxa" w:w="136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Gestor 2</w:t>
            </w:r>
          </w:p>
        </w:tc>
        <w:tc>
          <w:tcPr>
            <w:tcW w:type="dxa" w:w="345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Hostelería y turismo</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25 h</w:t>
            </w:r>
          </w:p>
        </w:tc>
        <w:tc>
          <w:tcPr>
            <w:tcW w:type="dxa" w:w="204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310.7 h</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Gestor 3</w:t>
            </w:r>
          </w:p>
        </w:tc>
        <w:tc>
          <w:tcPr>
            <w:tcW w:type="dxa" w:w="345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Educación y transversal</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25 h</w:t>
            </w:r>
          </w:p>
        </w:tc>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309.9 h</w:t>
            </w:r>
          </w:p>
        </w:tc>
      </w:tr>
      <w:tr>
        <w:trPr>
          <w:cantSplit/>
        </w:trPr>
        <w:tc>
          <w:tcPr>
            <w:tcW w:type="dxa" w:w="136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Gestor 4</w:t>
            </w:r>
          </w:p>
        </w:tc>
        <w:tc>
          <w:tcPr>
            <w:tcW w:type="dxa" w:w="345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Metal y logística</w:t>
            </w:r>
          </w:p>
        </w:tc>
        <w:tc>
          <w:tcPr>
            <w:tcW w:type="dxa" w:w="175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25 h</w:t>
            </w:r>
          </w:p>
        </w:tc>
        <w:tc>
          <w:tcPr>
            <w:tcW w:type="dxa" w:w="2041"/>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320.4 h</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color w:val="000000"/>
                <w:sz w:val="18"/>
              </w:rPr>
              <w:t>Gestor 5</w:t>
            </w:r>
          </w:p>
        </w:tc>
        <w:tc>
          <w:tcPr>
            <w:tcW w:type="dxa" w:w="345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Territorio y continuidad</w:t>
            </w:r>
          </w:p>
        </w:tc>
        <w:tc>
          <w:tcPr>
            <w:tcW w:type="dxa" w:w="17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20 h</w:t>
            </w:r>
          </w:p>
        </w:tc>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8"/>
              </w:rPr>
              <w:t>259.0 h</w:t>
            </w:r>
          </w:p>
        </w:tc>
      </w:tr>
    </w:tbl>
    <w:p>
      <w:pPr>
        <w:spacing w:after="0"/>
      </w:pPr>
    </w:p>
    <w:p>
      <w:r>
        <w:t>Capacidad propuesta: 120 horas semanales de captación y seguimiento entre cinco gestores; no equivale a jornada laboral total. Ajustar la disponibilidad real antes de aplicar el reparto. La carga es una estimación, no actividad realizada.</w:t>
      </w:r>
    </w:p>
    <w:p>
      <w:pPr>
        <w:pStyle w:val="Heading2"/>
      </w:pPr>
      <w:r>
        <w:t>Cómo se obtiene la propuesta</w:t>
      </w:r>
    </w:p>
    <w:p>
      <w:r>
        <w:t>A 26/10/2026 se calculan 113 borradores y se bloquean 50 filas por fechas, discrepancias o situación temporal. Ocho propuestas advierten falta de capacidad. Solo los plazos confirmados generan tareas automáticas; se conservan las fechas originales.</w:t>
      </w:r>
    </w:p>
    <w:p>
      <w:r>
        <w:t>Supuestos iniciales: 30 % de conversión de contactos, 85 % de finalización, 8 minutos por contacto y 12 de seguimiento por matrícula; 3 horas lectivas al día, 21 días de preparación y 21 de margen al cierre. Son hipótesis configurables. Fines de semana y festivos declarados se excluyen al proponer nuevos calendarios.</w:t>
      </w:r>
    </w:p>
    <w:p>
      <w:r>
        <w:t>Matrículas necesarias = redondeo superior del déficit de finales dividido por la tasa de finalización, menos matrículas activas. Contactos = redondeo superior de matrículas/conversión. Horas de gestión = minutos de contacto y seguimiento / 60. Se prioriza fecha límite y menor carga/capacidad; las fechas aún no fijadas se escalonan según disponibilidad. Es una heurística, no un óptimo matemático.</w:t>
      </w:r>
    </w:p>
    <w:p>
      <w:pPr>
        <w:pStyle w:val="Heading2"/>
      </w:pPr>
      <w:r>
        <w:t>Cadencia y prioridades</w:t>
      </w:r>
    </w:p>
    <w:p>
      <w:r>
        <w:t>Lunes: revisar incidencias y objetivos por expediente. Diario: atender próximos inicios y alumnos con riesgo de abandono. Miércoles: revisar distribución territorial, sector y desempleo. Viernes: validar resultados, actualizar cargas y preparar continuidad. Una persona solo admite una tarea abierta de contacto, para evitar llamadas duplicadas.</w:t>
      </w:r>
    </w:p>
    <w:p>
      <w:r>
        <w:t>Tras dos semanas, sustituir las tasas iniciales por conversiones observadas y ampliar el tiempo de seguimiento si crecen los abandonos. Antes de captar por volumen, resolver la base documental y reservar capacidad para cierre de evidencias.</w:t>
      </w:r>
    </w:p>
    <w:p>
      <w:pPr>
        <w:pStyle w:val="Heading2"/>
      </w:pPr>
      <w:r>
        <w:t>Continuidad entre cursos</w:t>
      </w:r>
    </w:p>
    <w:p>
      <w:r>
        <w:t>Ejemplos: Fundamentos Excel puede continuar con Business Intelligence en otro plan; Contabilidad, con Nominaplus o gestión fiscal. El orden se explica por competencias, progresión y fechas. Antes de ofrecer la plaza se revisan acceso, cupo, nivel, horario y situación laboral. La aplicación no contacta ni matricula automáticamente.</w:t>
      </w:r>
    </w:p>
    <w:p>
      <w:pPr>
        <w:pStyle w:val="Heading1"/>
        <w:pageBreakBefore/>
      </w:pPr>
      <w:r>
        <w:t>Instalación y acceso online</w:t>
      </w:r>
    </w:p>
    <w:p>
      <w:r>
        <w:t>El paquete contiene una aplicación Python con base SQLite compartida, Docker Compose y un proxy Caddy para HTTPS. No hay contraseñas predeterminadas. Preparar un servidor Linux con Docker, un dominio propio, DNS correcto y los puertos 80 y 443. El puerto interno 8000 no se publica.</w:t>
      </w:r>
    </w:p>
    <w:p>
      <w:pPr>
        <w:pStyle w:val="Heading2"/>
      </w:pPr>
      <w:r>
        <w:t>Puesta en marcha</w:t>
      </w:r>
    </w:p>
    <w:p>
      <w:r>
        <w:t>Descomprimir el paquete, entrar en sepe_control, copiar .env.example a .env e introducir SEPE_DOMAIN y ACME_EMAIL. El dominio se escribe sin protocolo ni ruta. Después ejecutar:</w:t>
      </w:r>
    </w:p>
    <w:p>
      <w:pPr>
        <w:spacing w:after="60"/>
      </w:pPr>
      <w:r>
        <w:rPr>
          <w:rFonts w:ascii="Consolas" w:hAnsi="Consolas"/>
          <w:sz w:val="18"/>
        </w:rPr>
        <w:t>docker compose build</w:t>
      </w:r>
    </w:p>
    <w:p>
      <w:pPr>
        <w:spacing w:after="60"/>
      </w:pPr>
      <w:r>
        <w:rPr>
          <w:rFonts w:ascii="Consolas" w:hAnsi="Consolas"/>
          <w:sz w:val="18"/>
        </w:rPr>
        <w:t>docker compose run --rm app python app.py user admin --role admin --manager g1</w:t>
      </w:r>
    </w:p>
    <w:p>
      <w:r>
        <w:t>El comando solicita una contraseña de al menos 12 caracteres, dos veces. Crear una cuenta diferente para cada gestor:</w:t>
      </w:r>
    </w:p>
    <w:p>
      <w:pPr>
        <w:spacing w:after="60"/>
      </w:pPr>
      <w:r>
        <w:rPr>
          <w:rFonts w:ascii="Consolas" w:hAnsi="Consolas"/>
          <w:sz w:val="18"/>
        </w:rPr>
        <w:t>docker compose run --rm app python app.py user gestor1 --manager g1</w:t>
      </w:r>
    </w:p>
    <w:p>
      <w:pPr>
        <w:spacing w:after="60"/>
      </w:pPr>
      <w:r>
        <w:rPr>
          <w:rFonts w:ascii="Consolas" w:hAnsi="Consolas"/>
          <w:sz w:val="18"/>
        </w:rPr>
        <w:t>docker compose run --rm app python app.py user gestor2 --manager g2</w:t>
      </w:r>
    </w:p>
    <w:p>
      <w:pPr>
        <w:spacing w:after="60"/>
      </w:pPr>
      <w:r>
        <w:rPr>
          <w:rFonts w:ascii="Consolas" w:hAnsi="Consolas"/>
          <w:sz w:val="18"/>
        </w:rPr>
        <w:t>docker compose run --rm app python app.py user gestor3 --manager g3</w:t>
      </w:r>
    </w:p>
    <w:p>
      <w:pPr>
        <w:spacing w:after="60"/>
      </w:pPr>
      <w:r>
        <w:rPr>
          <w:rFonts w:ascii="Consolas" w:hAnsi="Consolas"/>
          <w:sz w:val="18"/>
        </w:rPr>
        <w:t>docker compose run --rm app python app.py user gestor4 --manager g4</w:t>
      </w:r>
    </w:p>
    <w:p>
      <w:pPr>
        <w:spacing w:after="60"/>
      </w:pPr>
      <w:r>
        <w:rPr>
          <w:rFonts w:ascii="Consolas" w:hAnsi="Consolas"/>
          <w:sz w:val="18"/>
        </w:rPr>
        <w:t>docker compose run --rm app python app.py user gestor5 --manager g5</w:t>
      </w:r>
    </w:p>
    <w:p>
      <w:pPr>
        <w:spacing w:after="60"/>
      </w:pPr>
      <w:r>
        <w:rPr>
          <w:rFonts w:ascii="Consolas" w:hAnsi="Consolas"/>
          <w:sz w:val="18"/>
        </w:rPr>
        <w:t>docker compose up -d</w:t>
      </w:r>
    </w:p>
    <w:p>
      <w:r>
        <w:t>Abrir https://TU_DOMINIO e iniciar sesión. Caddy gestiona el certificado TLS. Configuración permite editar la capacidad y el nombre visible de cada gestor. Los roles son administrador, gestor y lector. Los dos centros se consultan desde las mismas cuentas.</w:t>
      </w:r>
    </w:p>
    <w:p>
      <w:pPr>
        <w:pStyle w:val="Heading2"/>
      </w:pPr>
      <w:r>
        <w:t>Primer recorrido de uso</w:t>
      </w:r>
    </w:p>
    <w:p>
      <w:r>
        <w:t>1. En Fuentes e incidencias, resolver discrepancias y obtener las notificaciones.</w:t>
        <w:br/>
        <w:t>2. En Fechas límite, confirmar plazos con documento y localizador.</w:t>
        <w:br/>
        <w:t>3. En Conexiones API, vincular grupos, revisar equivalencias y consultar antes de aplicar.</w:t>
        <w:br/>
        <w:t>4. En Alumnos, comprobar el origen y validar resultados con evidencia.</w:t>
        <w:br/>
        <w:t>5. En Planificación y Equipo y tareas, revisar necesidades, carga y calendario.</w:t>
        <w:br/>
        <w:t>6. En Siguiente curso, consultar continuidad y condiciones del destino.</w:t>
      </w:r>
    </w:p>
    <w:p>
      <w:pPr>
        <w:pStyle w:val="Heading2"/>
      </w:pPr>
      <w:r>
        <w:t>Copias y mantenimiento</w:t>
      </w:r>
    </w:p>
    <w:p>
      <w:pPr>
        <w:spacing w:after="60"/>
      </w:pPr>
      <w:r>
        <w:rPr>
          <w:rFonts w:ascii="Consolas" w:hAnsi="Consolas"/>
          <w:sz w:val="18"/>
        </w:rPr>
        <w:t>docker compose exec app python app.py backup</w:t>
      </w:r>
    </w:p>
    <w:p>
      <w:r>
        <w:t>Copiar fuera del servidor el archivo de copia cuya ruta muestra el comando y custodiarlo con acceso restringido. README.txt incluye los comandos de recuperación, restablecimiento de cuentas y prueba local. No usar docker compose down -v: eliminaría los volúmenes. Ensayar la restauración antes de trabajar con datos reales.</w:t>
      </w:r>
    </w:p>
    <w:p>
      <w:r>
        <w:t>Cambiar seed.json no actualiza una instalación existente. Cualquier cambio de catálogo necesita una migración que conserve IDs, fuentes y matrículas. La versión 2.0 conserva cuentas, matrículas y tareas al actualizar el código manteniendo .env, el secreto y el volumen de datos. Véase docs/INTEGRACION_APIS.txt.</w:t>
      </w:r>
    </w:p>
    <w:p>
      <w:pPr>
        <w:pStyle w:val="Heading1"/>
        <w:pageBreakBefore/>
      </w:pPr>
      <w:r>
        <w:t>Integración de las APIs y verificación</w:t>
      </w:r>
    </w:p>
    <w:p>
      <w:pPr>
        <w:pStyle w:val="Heading2"/>
      </w:pPr>
      <w:r>
        <w:t>Conectores implementados con los esquemas recibidos</w:t>
      </w:r>
    </w:p>
    <w:p>
      <w:r>
        <w:t>La API interna utiliza REST con autenticación Basic; Gestión utiliza GraphQL con token. Los conectores de lectura, la consulta paginada de grupos, el cruce de identidades y la vista previa están implementados. Las conexiones reales permanecen desactivadas: faltan las URL y la confirmación del contrato interno. No se han realizado llamadas a vuestros servicios.</w:t>
      </w:r>
    </w:p>
    <w:p>
      <w:r>
        <w:t>El archivo graphql recibido contiene SDL válido, aunque su extensión sea .json. El OpenAPI describe una pasarela denominada API Gestion Interna y no declara empresa, sector, situación laboral ni CCAA explícita en Alumno. Estos datos quedan pendientes. Las páginas siguientes explican cómo completar el mapeo sin inventar campos.</w:t>
      </w:r>
    </w:p>
    <w:p>
      <w:pPr>
        <w:pStyle w:val="Heading2"/>
      </w:pPr>
      <w:r>
        <w:t>Criterios para completar la puesta en servicio</w:t>
      </w:r>
    </w:p>
    <w:p>
      <w:r>
        <w:t>Confirmar las fechas desde las notificaciones; corregir las seis discrepancias de catálogo y la fecha de curso; conciliar objetivos por entidad y centro; obtener datos del resto de socios; aclarar el criterio de otros sectores del segundo plazo; completar clasificación de acciones para B.1/B.2 y reglas de financiación. Los porcentajes observados nunca sustituyen estas comprobaciones.</w:t>
      </w:r>
    </w:p>
    <w:p>
      <w:pPr>
        <w:pStyle w:val="Heading2"/>
      </w:pPr>
      <w:r>
        <w:t>Qué se ha verificado</w:t>
      </w:r>
    </w:p>
    <w:p>
      <w:r>
        <w:t>Sesenta pruebas automatizadas del servidor y motor pasan. Incluyen cálculos, fechas, agrupación, roles, concurrencia, contratos de consultas, paginación, autenticación, cruce de identidades, estados ambiguos y conservación de matrículas ausentes. Se ejecutaron trece vistas y trece diálogos sin excepciones en la comprobación de plantillas.</w:t>
      </w:r>
    </w:p>
    <w:p>
      <w:r>
        <w:t>Se revisó en navegador la nueva pantalla y la simulación mediante respuestas ficticias aisladas. Esta revisión no valida una conexión real ni el servidor Python en el navegador. Quedan por probar las URL, credenciales y respuestas reales, así como Docker y HTTPS en destino. Ensayar con datos ficticios y comprobar copias antes de usar alumnos reales.</w:t>
      </w:r>
    </w:p>
    <w:p>
      <w:pPr>
        <w:pStyle w:val="Heading2"/>
      </w:pPr>
      <w:r>
        <w:t>Fuentes de referencia</w:t>
      </w:r>
    </w:p>
    <w:p>
      <w:hyperlink r:id="rId13">
        <w:r>
          <w:rPr>
            <w:color w:val="175943"/>
          </w:rPr>
          <w:t>FUNDAE convocatoria 2024 segundo plazo 2025</w:t>
        </w:r>
      </w:hyperlink>
    </w:p>
    <w:p>
      <w:hyperlink r:id="rId14">
        <w:r>
          <w:rPr>
            <w:color w:val="175943"/>
          </w:rPr>
          <w:t>Resolución de 6 de agosto de 2024</w:t>
        </w:r>
      </w:hyperlink>
    </w:p>
    <w:p>
      <w:hyperlink r:id="rId15">
        <w:r>
          <w:rPr>
            <w:color w:val="175943"/>
          </w:rPr>
          <w:t>Anexo VI valoración técnica</w:t>
        </w:r>
      </w:hyperlink>
    </w:p>
    <w:p>
      <w:hyperlink r:id="rId16">
        <w:r>
          <w:rPr>
            <w:color w:val="175943"/>
          </w:rPr>
          <w:t>Anexo VII justificación</w:t>
        </w:r>
      </w:hyperlink>
    </w:p>
    <w:p>
      <w:r>
        <w:t>Las diez resoluciones y los dos Excel se incluyen como copias de consulta dentro del paquete. La aplicación conserva enlace original, localizador y huella de los archivos. La página de FUNDAE recoge las modificaciones de septiembre y octubre de 2025 y las instrucciones posteriores; debe consultarse al actualizar las reglas.</w:t>
      </w:r>
    </w:p>
    <w:p>
      <w:r>
        <w:t>Responsables sugeridos: administrador para fuentes y configuración; cada gestor para sus tareas y evidencias; coordinación para los expedientes compartidos, los socios y el cierre de la justificación.</w:t>
      </w:r>
    </w:p>
    <w:p>
      <w:pPr>
        <w:pStyle w:val="Heading1"/>
        <w:pageBreakBefore/>
      </w:pPr>
      <w:r>
        <w:t>Fechas y resultados de la agrupación</w:t>
      </w:r>
    </w:p>
    <w:p>
      <w:r>
        <w:t>Funciones de fechas y agrupación conservadas en la versión 2.0. Permiten controlar documentalmente los plazos y cargar resultados de otras entidades por formulario o CSV, aunque las APIs todavía no estén activas.</w:t>
      </w:r>
    </w:p>
    <w:p>
      <w:pPr>
        <w:pStyle w:val="Heading2"/>
      </w:pPr>
      <w:r>
        <w:t>Confirmar la fecha que debe utilizarse</w:t>
      </w:r>
    </w:p>
    <w:p>
      <w:r>
        <w:t>En Fechas límite se presenta un registro por expediente, común a todos sus bloques. Se conserva la fecha original del Excel con su celda. El administrador puede registrar una fecha provisional, confirmada o en revisión, indicando documento y página o motivo de revisión. La fecha de notificación se anota cuando consta; no se deduce el fin desde la firma de la resolución.</w:t>
      </w:r>
    </w:p>
    <w:p>
      <w:r>
        <w:t>Los plazos provisionales permiten calcular y guardar borradores, sin crear tareas automáticas de captación. Los plazos confirmados permiten generarlas. Los plazos en revisión bloquean nuevas propuestas. Cada cambio conserva la fecha anterior, su evidencia, usuario y momento. Las alertas identifican vencimientos, cursos fuera de plazo, fechas incoherentes y propuestas guardadas que necesitan reajuste.</w:t>
      </w:r>
    </w:p>
    <w:p>
      <w:pPr>
        <w:pStyle w:val="Heading2"/>
      </w:pPr>
      <w:r>
        <w:t>Introducir los resultados de los socios</w:t>
      </w:r>
    </w:p>
    <w:p>
      <w:r>
        <w:t>En Agrupación, registrar cada socio externo por NIF y asignarlo a sus expedientes. Akacenter y Juan Pablo ya se obtienen de sus matrículas y no deben añadirse de nuevo. El administrador introduce un corte por socio y expediente, con fecha, documento de origen y recuentos; también puede importar la plantilla CSV incluida en el paquete o descargarla desde la aplicación.</w:t>
      </w:r>
    </w:p>
    <w:p>
      <w:r>
        <w:t>Registrar certificados válidos, desempleados, colectivos prioritarios, sectores y CCAA de domicilio. Para ejecución se admiten objetivos, finalizados y horas participante. Un campo vacío significa desconocido; cero solo se utiliza si está confirmado. Los cortes pendientes de validación se ven, pero no se suman. El nuevo corte activo sustituye al anterior, que permanece en el historial.</w:t>
      </w:r>
    </w:p>
    <w:p>
      <w:pPr>
        <w:pStyle w:val="Heading2"/>
      </w:pPr>
      <w:r>
        <w:t>Interpretar el consolidado</w:t>
      </w:r>
    </w:p>
    <w:p>
      <w:r>
        <w:t>Los porcentajes se calculan sumando numeradores y denominadores, nunca promediando porcentajes de entidades. Ver cálculo y fuente muestra los informes externos utilizados. Los paneles locales y las necesidades de captación locales mantienen su ámbito. Los resultados externos no se convierten en alumnos ficticios.</w:t>
      </w:r>
    </w:p>
    <w:p>
      <w:r>
        <w:t>La cobertura solo se declara completa cuando la composición de la agrupación está documentada, todos los socios registrados aportan un corte validado, las matrículas locales están cerradas con evidencia y las fechas coinciden. Cualquier cambio local anula esa declaración de cierre hasta revisarla. Aun con cobertura declarada, los agregados no comprueban duplicados individuales, asistencia o simultaneidad entre entidades.</w:t>
      </w:r>
    </w:p>
    <w:p>
      <w:r>
        <w:t>Actualización de una instalación existente: hacer copia, sustituir el código conservando .env y el volumen sepe_data y ejecutar docker compose up -d --build. El archivo docs/AGRUPACION_Y_FECHAS.txt contiene el recorrido completo y el mapa de las 19 columnas de CCAA del CSV.</w:t>
      </w:r>
    </w:p>
    <w:p>
      <w:pPr>
        <w:pStyle w:val="Heading1"/>
        <w:pageBreakBefore/>
      </w:pPr>
      <w:r>
        <w:t>Configurar las dos fuentes de datos</w:t>
      </w:r>
    </w:p>
    <w:p>
      <w:r>
        <w:t>El administrador configura conexiones y correspondencias. Los gestores trabajan con los datos incorporados y sus evidencias. Las credenciales de las APIs son independientes de las cuentas personales de acceso a SEPE Control.</w:t>
      </w:r>
    </w:p>
    <w:tbl>
      <w:tblPr>
        <w:tblStyle w:val="TableGrid"/>
        <w:tblW w:type="auto" w:w="0"/>
        <w:jc w:val="center"/>
        <w:tblLayout w:type="fixed"/>
        <w:tblLook w:firstColumn="1" w:firstRow="1" w:lastColumn="0" w:lastRow="0" w:noHBand="0" w:noVBand="1" w:val="04A0"/>
      </w:tblPr>
      <w:tblGrid>
        <w:gridCol w:w="2232"/>
        <w:gridCol w:w="2232"/>
        <w:gridCol w:w="4608"/>
      </w:tblGrid>
      <w:tr>
        <w:tc>
          <w:tcPr>
            <w:tcW w:type="dxa" w:w="2232"/>
            <w:vAlign w:val="center"/>
            <w:shd w:fill="233B47"/>
          </w:tcPr>
          <w:p>
            <w:pPr>
              <w:spacing w:before="100" w:after="100"/>
            </w:pPr>
            <w:r>
              <w:rPr>
                <w:b/>
                <w:color w:val="FFFFFF"/>
                <w:sz w:val="18"/>
              </w:rPr>
              <w:t>Dato</w:t>
            </w:r>
          </w:p>
        </w:tc>
        <w:tc>
          <w:tcPr>
            <w:tcW w:type="dxa" w:w="2232"/>
            <w:vAlign w:val="center"/>
            <w:shd w:fill="233B47"/>
          </w:tcPr>
          <w:p>
            <w:pPr>
              <w:spacing w:before="100" w:after="100"/>
            </w:pPr>
            <w:r>
              <w:rPr>
                <w:b/>
                <w:color w:val="FFFFFF"/>
                <w:sz w:val="18"/>
              </w:rPr>
              <w:t>Fuente utilizada</w:t>
            </w:r>
          </w:p>
        </w:tc>
        <w:tc>
          <w:tcPr>
            <w:tcW w:type="dxa" w:w="4608"/>
            <w:vAlign w:val="center"/>
            <w:shd w:fill="233B47"/>
          </w:tcPr>
          <w:p>
            <w:pPr>
              <w:spacing w:before="100" w:after="100"/>
            </w:pPr>
            <w:r>
              <w:rPr>
                <w:b/>
                <w:color w:val="FFFFFF"/>
                <w:sz w:val="18"/>
              </w:rPr>
              <w:t>Tratamiento</w:t>
            </w:r>
          </w:p>
        </w:tc>
      </w:tr>
      <w:tr>
        <w:tc>
          <w:tcPr>
            <w:tcW w:type="dxa" w:w="2232"/>
            <w:vAlign w:val="center"/>
            <w:shd w:fill="FFFFFF"/>
          </w:tcPr>
          <w:p>
            <w:pPr>
              <w:spacing w:before="100" w:after="100"/>
            </w:pPr>
            <w:r>
              <w:rPr>
                <w:b w:val="0"/>
                <w:sz w:val="18"/>
              </w:rPr>
              <w:t>Nombre y domicilio</w:t>
            </w:r>
          </w:p>
        </w:tc>
        <w:tc>
          <w:tcPr>
            <w:tcW w:type="dxa" w:w="2232"/>
            <w:vAlign w:val="center"/>
            <w:shd w:fill="FFFFFF"/>
          </w:tcPr>
          <w:p>
            <w:pPr>
              <w:spacing w:before="100" w:after="100"/>
            </w:pPr>
            <w:r>
              <w:rPr>
                <w:b w:val="0"/>
                <w:sz w:val="18"/>
              </w:rPr>
              <w:t>API interna REST</w:t>
            </w:r>
          </w:p>
        </w:tc>
        <w:tc>
          <w:tcPr>
            <w:tcW w:type="dxa" w:w="4608"/>
            <w:vAlign w:val="center"/>
            <w:shd w:fill="FFFFFF"/>
          </w:tcPr>
          <w:p>
            <w:pPr>
              <w:spacing w:before="100" w:after="100"/>
            </w:pPr>
            <w:r>
              <w:rPr>
                <w:b w:val="0"/>
                <w:sz w:val="18"/>
              </w:rPr>
              <w:t>Ficha de alumno. CCAA explícita si existe; en su defecto, inferencia por CP con país España confirmado.</w:t>
            </w:r>
          </w:p>
        </w:tc>
      </w:tr>
      <w:tr>
        <w:tc>
          <w:tcPr>
            <w:tcW w:type="dxa" w:w="2232"/>
            <w:vAlign w:val="center"/>
            <w:shd w:fill="F1F4F6"/>
          </w:tcPr>
          <w:p>
            <w:pPr>
              <w:spacing w:before="100" w:after="100"/>
            </w:pPr>
            <w:r>
              <w:rPr>
                <w:b w:val="0"/>
                <w:sz w:val="18"/>
              </w:rPr>
              <w:t>Empresa y sector</w:t>
            </w:r>
          </w:p>
        </w:tc>
        <w:tc>
          <w:tcPr>
            <w:tcW w:type="dxa" w:w="2232"/>
            <w:vAlign w:val="center"/>
            <w:shd w:fill="F1F4F6"/>
          </w:tcPr>
          <w:p>
            <w:pPr>
              <w:spacing w:before="100" w:after="100"/>
            </w:pPr>
            <w:r>
              <w:rPr>
                <w:b w:val="0"/>
                <w:sz w:val="18"/>
              </w:rPr>
              <w:t>API interna REST</w:t>
            </w:r>
          </w:p>
        </w:tc>
        <w:tc>
          <w:tcPr>
            <w:tcW w:type="dxa" w:w="4608"/>
            <w:vAlign w:val="center"/>
            <w:shd w:fill="F1F4F6"/>
          </w:tcPr>
          <w:p>
            <w:pPr>
              <w:spacing w:before="100" w:after="100"/>
            </w:pPr>
            <w:r>
              <w:rPr>
                <w:b w:val="0"/>
                <w:sz w:val="18"/>
              </w:rPr>
              <w:t>Configurar campos documentados. El esquema recibido no los declara.</w:t>
            </w:r>
          </w:p>
        </w:tc>
      </w:tr>
      <w:tr>
        <w:tc>
          <w:tcPr>
            <w:tcW w:type="dxa" w:w="2232"/>
            <w:vAlign w:val="center"/>
            <w:shd w:fill="FFFFFF"/>
          </w:tcPr>
          <w:p>
            <w:pPr>
              <w:spacing w:before="100" w:after="100"/>
            </w:pPr>
            <w:r>
              <w:rPr>
                <w:b w:val="0"/>
                <w:sz w:val="18"/>
              </w:rPr>
              <w:t>Situación laboral y prioridad</w:t>
            </w:r>
          </w:p>
        </w:tc>
        <w:tc>
          <w:tcPr>
            <w:tcW w:type="dxa" w:w="2232"/>
            <w:vAlign w:val="center"/>
            <w:shd w:fill="FFFFFF"/>
          </w:tcPr>
          <w:p>
            <w:pPr>
              <w:spacing w:before="100" w:after="100"/>
            </w:pPr>
            <w:r>
              <w:rPr>
                <w:b w:val="0"/>
                <w:sz w:val="18"/>
              </w:rPr>
              <w:t>API interna REST</w:t>
            </w:r>
          </w:p>
        </w:tc>
        <w:tc>
          <w:tcPr>
            <w:tcW w:type="dxa" w:w="4608"/>
            <w:vAlign w:val="center"/>
            <w:shd w:fill="FFFFFF"/>
          </w:tcPr>
          <w:p>
            <w:pPr>
              <w:spacing w:before="100" w:after="100"/>
            </w:pPr>
            <w:r>
              <w:rPr>
                <w:b w:val="0"/>
                <w:sz w:val="18"/>
              </w:rPr>
              <w:t>Requieren significado y fecha de referencia contrastados. Un dato ausente es desconocido.</w:t>
            </w:r>
          </w:p>
        </w:tc>
      </w:tr>
      <w:tr>
        <w:tc>
          <w:tcPr>
            <w:tcW w:type="dxa" w:w="2232"/>
            <w:vAlign w:val="center"/>
            <w:shd w:fill="F1F4F6"/>
          </w:tcPr>
          <w:p>
            <w:pPr>
              <w:spacing w:before="100" w:after="100"/>
            </w:pPr>
            <w:r>
              <w:rPr>
                <w:b w:val="0"/>
                <w:sz w:val="18"/>
              </w:rPr>
              <w:t>Estado y fechas de matrícula</w:t>
            </w:r>
          </w:p>
        </w:tc>
        <w:tc>
          <w:tcPr>
            <w:tcW w:type="dxa" w:w="2232"/>
            <w:vAlign w:val="center"/>
            <w:shd w:fill="F1F4F6"/>
          </w:tcPr>
          <w:p>
            <w:pPr>
              <w:spacing w:before="100" w:after="100"/>
            </w:pPr>
            <w:r>
              <w:rPr>
                <w:b w:val="0"/>
                <w:sz w:val="18"/>
              </w:rPr>
              <w:t>Gestión GraphQL</w:t>
            </w:r>
          </w:p>
        </w:tc>
        <w:tc>
          <w:tcPr>
            <w:tcW w:type="dxa" w:w="4608"/>
            <w:vAlign w:val="center"/>
            <w:shd w:fill="F1F4F6"/>
          </w:tcPr>
          <w:p>
            <w:pPr>
              <w:spacing w:before="100" w:after="100"/>
            </w:pPr>
            <w:r>
              <w:rPr>
                <w:b w:val="0"/>
                <w:sz w:val="18"/>
              </w:rPr>
              <w:t>estadomatricula, falta, fbaja y motivobaja. Los estados no reconocidos se excluyen para revisión.</w:t>
            </w:r>
          </w:p>
        </w:tc>
      </w:tr>
      <w:tr>
        <w:tc>
          <w:tcPr>
            <w:tcW w:type="dxa" w:w="2232"/>
            <w:vAlign w:val="center"/>
            <w:shd w:fill="FFFFFF"/>
          </w:tcPr>
          <w:p>
            <w:pPr>
              <w:spacing w:before="100" w:after="100"/>
            </w:pPr>
            <w:r>
              <w:rPr>
                <w:b w:val="0"/>
                <w:sz w:val="18"/>
              </w:rPr>
              <w:t>Validación y certificación</w:t>
            </w:r>
          </w:p>
        </w:tc>
        <w:tc>
          <w:tcPr>
            <w:tcW w:type="dxa" w:w="2232"/>
            <w:vAlign w:val="center"/>
            <w:shd w:fill="FFFFFF"/>
          </w:tcPr>
          <w:p>
            <w:pPr>
              <w:spacing w:before="100" w:after="100"/>
            </w:pPr>
            <w:r>
              <w:rPr>
                <w:b w:val="0"/>
                <w:sz w:val="18"/>
              </w:rPr>
              <w:t>Revisión documental local</w:t>
            </w:r>
          </w:p>
        </w:tc>
        <w:tc>
          <w:tcPr>
            <w:tcW w:type="dxa" w:w="4608"/>
            <w:vAlign w:val="center"/>
            <w:shd w:fill="FFFFFF"/>
          </w:tcPr>
          <w:p>
            <w:pPr>
              <w:spacing w:before="100" w:after="100"/>
            </w:pPr>
            <w:r>
              <w:rPr>
                <w:b w:val="0"/>
                <w:sz w:val="18"/>
              </w:rPr>
              <w:t>Un final comunicado no se convierte automáticamente en certificado válido.</w:t>
            </w:r>
          </w:p>
        </w:tc>
      </w:tr>
    </w:tbl>
    <w:p>
      <w:pPr>
        <w:pStyle w:val="Heading2"/>
      </w:pPr>
      <w:r>
        <w:t>Datos que debe aportar el responsable técnico</w:t>
      </w:r>
    </w:p>
    <w:p>
      <w:r>
        <w:t>Las dos URL HTTPS completas, credenciales reales con permiso de lectura, prefijo del token de Gestión y confirmación de que el OpenAPI es el servicio del portal interno. Se necesita una respuesta anonimizada que documente empresa, sector, situación laboral al inicio y fecha de vigencia. El esquema GraphQL no enumera los valores reales de estadomatricula.</w:t>
      </w:r>
    </w:p>
    <w:p>
      <w:pPr>
        <w:pStyle w:val="Heading2"/>
      </w:pPr>
      <w:r>
        <w:t>Variables del servidor</w:t>
      </w:r>
    </w:p>
    <w:p>
      <w:r>
        <w:t>En .env: SEPE_INTERNAL_BASE_URL, SEPE_INTERNAL_USERNAME y SEPE_INTERNAL_PASSWORD para REST; SEPE_GESTION_GRAPHQL_URL, SEPE_GESTION_TOKEN y SEPE_GESTION_AUTH_SCHEME para Gestión. Bearer es el valor inicial, pendiente de confirmar; también se admiten JWT, Token y raw. Activar con SEPE_API_ENABLED=1 y reiniciar con docker compose up -d --build.</w:t>
      </w:r>
    </w:p>
    <w:p>
      <w:r>
        <w:t>El OpenAPI declara /gestion/api como servidor relativo y /gestion/alumnos/{alumno_id} como ruta. La URL base debe incluir el prefijo que realmente use el servidor. El manual técnico muestra la composición exacta. Las claves de simulación no están incorporadas al código ni al navegador.</w:t>
      </w:r>
    </w:p>
    <w:p>
      <w:pPr>
        <w:pStyle w:val="Heading1"/>
        <w:pageBreakBefore/>
      </w:pPr>
      <w:r>
        <w:t>Consultar revisar e incorporar resultados</w:t>
      </w:r>
    </w:p>
    <w:p>
      <w:pPr>
        <w:pStyle w:val="Heading2"/>
      </w:pPr>
      <w:r>
        <w:t>Recorrido del administrador</w:t>
      </w:r>
    </w:p>
    <w:p>
      <w:r>
        <w:t>1. Probar Simulación sin conexión. Presenta dos matrículas ficticias: una finalizada pendiente de validación y otra excluida porque «baja» no tiene equivalencia. La simulación no se puede aplicar a los alumnos reales.</w:t>
      </w:r>
    </w:p>
    <w:p>
      <w:r>
        <w:t>2. Consultar grupos de Gestión y vincular cada ID a una fila local, comprobando entidad, expediente, acción y sede. Conservar la evidencia. Las fechas del grupo se muestran como información y no sustituyen el plazo confirmado del plan.</w:t>
      </w:r>
    </w:p>
    <w:p>
      <w:r>
        <w:t>3. Revisar Campos personales REST y Equivalencias de estados. Configurar rutas solo cuando la respuesta real las contenga. Clasificar los sectores por expediente con listas documentadas de propio y otro; un sector desconocido no se convierte automáticamente en otro.</w:t>
      </w:r>
    </w:p>
    <w:p>
      <w:r>
        <w:t>4. Preparar la consulta. Se muestran registros listos, excluidos, ausentes y datos pendientes. Revisar el detalle antes de pulsar Aplicar. Se incorpora el conjunto de registros listos en una sola operación; los excluidos no se importan.</w:t>
      </w:r>
    </w:p>
    <w:p>
      <w:r>
        <w:t>5. En Alumnos, abrir Ver origen para consultar IDs, fecha de consulta, campo y regla. Revisar documentalmente la finalización y la certificación. Los cálculos mantienen sus denominadores y muestran los datos desconocidos.</w:t>
      </w:r>
    </w:p>
    <w:p>
      <w:r>
        <w:t>6. Actualizar la planificación y el seguimiento con el corte revisado. Confirmar los plazos y cargar los resultados de la agrupación antes de interpretar el cumplimiento global.</w:t>
      </w:r>
    </w:p>
    <w:p>
      <w:pPr>
        <w:pStyle w:val="Heading2"/>
      </w:pPr>
      <w:r>
        <w:t>Identidades cambios y ausencias</w:t>
      </w:r>
    </w:p>
    <w:p>
      <w:r>
        <w:t>La unión usa el ID de matrícula de Gestión y contrasta el NIF con la ficha REST. Si falta el identificador o la búsqueda es ambigua, exige un enlace explícito con evidencia. Un NIF contradictorio bloquea la unión. Las matrículas manuales se concilian mediante sus IDs antes de importar, para evitar duplicados.</w:t>
      </w:r>
    </w:p>
    <w:p>
      <w:r>
        <w:t>Repetir una consulta con los mismos datos conserva las revisiones documentadas. Si cambian los datos de origen, se conserva el historial y se requiere nueva validación. Las correcciones manuales exigen evidencia. No aparecer en una respuesta nunca equivale a baja, abandono o anulación.</w:t>
      </w:r>
    </w:p>
    <w:p>
      <w:pPr>
        <w:pStyle w:val="Heading2"/>
      </w:pPr>
      <w:r>
        <w:t>Límites y operación</w:t>
      </w:r>
    </w:p>
    <w:p>
      <w:r>
        <w:t>La consulta es manual y de solo lectura; no modifica los sistemas de origen. Las vistas previas caducan a los 30 minutos y se rechazan si otro usuario cambia datos antes de aplicarlas. No existe un porcentaje directo de avance en el esquema recibido. Las reglas legales todavía pendientes continúan señaladas; la integración no las resuelve.</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SEPE Control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folders/1ZfLOJdW_8K18JtxnwzphDD44L5B19bsX" TargetMode="External"/><Relationship Id="rId11" Type="http://schemas.openxmlformats.org/officeDocument/2006/relationships/hyperlink" Target="https://docs.google.com/spreadsheets/d/1P1omeGtrx0RBldUQo_pXckqyLFEFiUxZ/edit" TargetMode="External"/><Relationship Id="rId12" Type="http://schemas.openxmlformats.org/officeDocument/2006/relationships/hyperlink" Target="https://docs.google.com/spreadsheets/d/1yEatop-bU1kXgDfEBRvRmS8sFsdvOLBV/edit" TargetMode="External"/><Relationship Id="rId13" Type="http://schemas.openxmlformats.org/officeDocument/2006/relationships/hyperlink" Target="https://www.fundae.es/convocatorias/plazo-de-solicitud-abierto/programas-de-formaci%C3%B3n-2025" TargetMode="External"/><Relationship Id="rId14" Type="http://schemas.openxmlformats.org/officeDocument/2006/relationships/hyperlink" Target="https://www.fundae.es/docs/default-source/convocatorias-de-subvenciones/planes_2024/resoluci%C3%B3n-convocatoria-programas-2024-firmada.pdf" TargetMode="External"/><Relationship Id="rId15" Type="http://schemas.openxmlformats.org/officeDocument/2006/relationships/hyperlink" Target="https://www.fundae.es/docs/default-source/convocatorias-de-subvenciones/planes_2024/anexo-vi.pdf?sfvrsn=cf4c847c_1" TargetMode="External"/><Relationship Id="rId16" Type="http://schemas.openxmlformats.org/officeDocument/2006/relationships/hyperlink" Target="https://www.fundae.es/docs/default-source/convocatorias-de-subvenciones/planes_2024/anexo-vii.pdf?sfvrsn=959240b1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seguimiento SEPE y manual de instalación</dc:title>
  <dc:subject>Akacenter y Juan Pablo segunda ventana 2025</dc:subject>
  <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