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CFC" w:rsidRDefault="00000000">
      <w:pPr>
        <w:spacing w:before="480" w:after="360" w:line="480" w:lineRule="auto"/>
        <w:ind w:left="360"/>
        <w:rPr>
          <w:b/>
          <w:smallCaps/>
          <w:color w:val="373636"/>
          <w:sz w:val="48"/>
          <w:szCs w:val="48"/>
        </w:rPr>
      </w:pPr>
      <w:r>
        <w:rPr>
          <w:b/>
          <w:smallCaps/>
          <w:color w:val="373636"/>
          <w:sz w:val="36"/>
          <w:szCs w:val="36"/>
        </w:rPr>
        <w:t>Overzicht</w:t>
      </w:r>
    </w:p>
    <w:tbl>
      <w:tblPr>
        <w:tblStyle w:val="a2"/>
        <w:tblW w:w="62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67"/>
        <w:gridCol w:w="3443"/>
      </w:tblGrid>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Startdatum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7F5D9F">
            <w:pPr>
              <w:spacing w:line="240" w:lineRule="auto"/>
              <w:rPr>
                <w:sz w:val="20"/>
                <w:szCs w:val="20"/>
              </w:rPr>
            </w:pPr>
            <w:r>
              <w:rPr>
                <w:sz w:val="20"/>
                <w:szCs w:val="20"/>
              </w:rPr>
              <w:t>25/03/2021</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Einddatum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r>
              <w:rPr>
                <w:sz w:val="20"/>
                <w:szCs w:val="20"/>
              </w:rPr>
              <w:t>TBD</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Voorzitter</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tbd</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Projectteam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tbd</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Geplande overlegmomenten</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color w:val="000000"/>
                <w:sz w:val="20"/>
                <w:szCs w:val="20"/>
              </w:rPr>
            </w:pPr>
            <w:r>
              <w:rPr>
                <w:color w:val="000000"/>
                <w:sz w:val="20"/>
                <w:szCs w:val="20"/>
              </w:rPr>
              <w:t>tbd</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Beslissingscriterium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Unanimiteit minus één (U-1)</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Licentie</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hyperlink r:id="rId8">
              <w:r>
                <w:rPr>
                  <w:color w:val="1155CC"/>
                  <w:sz w:val="20"/>
                  <w:szCs w:val="20"/>
                  <w:u w:val="single"/>
                </w:rPr>
                <w:t>Modellicentie gratis hergebruik v1.0</w:t>
              </w:r>
            </w:hyperlink>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Locatie documentatie</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hyperlink r:id="rId9">
              <w:r>
                <w:rPr>
                  <w:color w:val="1155CC"/>
                  <w:sz w:val="20"/>
                  <w:szCs w:val="20"/>
                  <w:u w:val="single"/>
                </w:rPr>
                <w:t>http://data.vlaanderen.be</w:t>
              </w:r>
            </w:hyperlink>
            <w:r>
              <w:rPr>
                <w:color w:val="000000"/>
                <w:sz w:val="20"/>
                <w:szCs w:val="20"/>
              </w:rPr>
              <w:t xml:space="preserve"> </w:t>
            </w:r>
          </w:p>
        </w:tc>
      </w:tr>
      <w:tr w:rsidR="00FB1CF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FB1CFC" w:rsidRDefault="00000000">
            <w:pPr>
              <w:spacing w:line="240" w:lineRule="auto"/>
              <w:rPr>
                <w:sz w:val="20"/>
                <w:szCs w:val="20"/>
              </w:rPr>
            </w:pPr>
            <w:r>
              <w:rPr>
                <w:color w:val="000000"/>
                <w:sz w:val="20"/>
                <w:szCs w:val="20"/>
              </w:rPr>
              <w:t>Issue logging</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CFC" w:rsidRDefault="00000000">
            <w:pPr>
              <w:spacing w:line="240" w:lineRule="auto"/>
              <w:rPr>
                <w:sz w:val="20"/>
                <w:szCs w:val="20"/>
              </w:rPr>
            </w:pPr>
            <w:hyperlink r:id="rId10">
              <w:r>
                <w:rPr>
                  <w:color w:val="1155CC"/>
                  <w:sz w:val="20"/>
                  <w:szCs w:val="20"/>
                  <w:u w:val="single"/>
                </w:rPr>
                <w:t>tbd</w:t>
              </w:r>
            </w:hyperlink>
            <w:r>
              <w:rPr>
                <w:color w:val="000000"/>
                <w:sz w:val="20"/>
                <w:szCs w:val="20"/>
              </w:rPr>
              <w:t xml:space="preserve"> </w:t>
            </w:r>
          </w:p>
        </w:tc>
      </w:tr>
    </w:tbl>
    <w:p w:rsidR="00FB1CFC" w:rsidRDefault="00FB1CFC">
      <w:pPr>
        <w:spacing w:before="0" w:after="0" w:line="240" w:lineRule="auto"/>
        <w:rPr>
          <w:sz w:val="24"/>
          <w:szCs w:val="24"/>
        </w:rPr>
      </w:pPr>
    </w:p>
    <w:p w:rsidR="00FB1CFC" w:rsidRDefault="00000000">
      <w:pPr>
        <w:spacing w:before="0" w:after="200" w:line="276" w:lineRule="auto"/>
        <w:rPr>
          <w:sz w:val="24"/>
          <w:szCs w:val="24"/>
        </w:rPr>
      </w:pPr>
      <w:r>
        <w:br w:type="page"/>
      </w:r>
    </w:p>
    <w:p w:rsidR="00FB1CFC" w:rsidRDefault="00000000">
      <w:pPr>
        <w:pStyle w:val="Heading1"/>
        <w:numPr>
          <w:ilvl w:val="0"/>
          <w:numId w:val="5"/>
        </w:numPr>
        <w:rPr>
          <w:rFonts w:eastAsia="Calibri" w:cs="Calibri"/>
          <w:sz w:val="48"/>
          <w:szCs w:val="48"/>
        </w:rPr>
      </w:pPr>
      <w:r>
        <w:rPr>
          <w:rFonts w:eastAsia="Calibri" w:cs="Calibri"/>
          <w:sz w:val="48"/>
          <w:szCs w:val="48"/>
        </w:rPr>
        <w:lastRenderedPageBreak/>
        <w:t>Context</w:t>
      </w:r>
    </w:p>
    <w:p w:rsidR="00FB1CFC" w:rsidRDefault="00000000">
      <w:pPr>
        <w:pStyle w:val="Heading2"/>
        <w:numPr>
          <w:ilvl w:val="1"/>
          <w:numId w:val="5"/>
        </w:numPr>
        <w:rPr>
          <w:rFonts w:eastAsia="Calibri" w:cs="Calibri"/>
        </w:rPr>
      </w:pPr>
      <w:r>
        <w:rPr>
          <w:rFonts w:eastAsia="Calibri" w:cs="Calibri"/>
        </w:rPr>
        <w:t>WAT</w:t>
      </w:r>
    </w:p>
    <w:p w:rsidR="00FB1CFC" w:rsidRDefault="00000000">
      <w:pPr>
        <w:spacing w:after="0"/>
        <w:jc w:val="both"/>
        <w:rPr>
          <w:sz w:val="20"/>
          <w:szCs w:val="20"/>
        </w:rPr>
      </w:pPr>
      <w:r>
        <w:rPr>
          <w:sz w:val="20"/>
          <w:szCs w:val="20"/>
        </w:rPr>
        <w:t xml:space="preserve">Via dit initiatief wenst het Departement Mobiliteit en Openbare Werken samen met de verschillende stakeholders binnen het domein “fiets”, de verschillende datastromen met betrekking tot dit domein semantisch te modelleren en de structuur van de data te standaardiseren. </w:t>
      </w:r>
    </w:p>
    <w:p w:rsidR="00FB1CFC" w:rsidRDefault="00000000">
      <w:pPr>
        <w:spacing w:after="0"/>
        <w:jc w:val="both"/>
        <w:rPr>
          <w:sz w:val="20"/>
          <w:szCs w:val="20"/>
        </w:rPr>
      </w:pPr>
      <w:r>
        <w:rPr>
          <w:sz w:val="20"/>
          <w:szCs w:val="20"/>
        </w:rPr>
        <w:t xml:space="preserve">Het vocabularium wordt opgebouwd op basis van internationale standaarden waar in dit domein een brede consensus over bestaat en in lijn gebracht met vigerende Vlaamse regelgeving. </w:t>
      </w:r>
    </w:p>
    <w:p w:rsidR="00FB1CFC" w:rsidRDefault="00000000">
      <w:pPr>
        <w:spacing w:after="0"/>
        <w:jc w:val="both"/>
        <w:rPr>
          <w:sz w:val="20"/>
          <w:szCs w:val="20"/>
        </w:rPr>
      </w:pPr>
      <w:r>
        <w:rPr>
          <w:sz w:val="20"/>
          <w:szCs w:val="20"/>
        </w:rPr>
        <w:t>De doelstelling bestaat erin de data te ontsluiten als Linked (Open) Data en standaard interfaces (APIs) te definiëren om zo samenwerking en integratie van de verschillende services en tools eenvoudiger te maken. Het is eveneens een doelstelling om de data vlot herbruikbaar te maken voor alle belanghebbenden.</w:t>
      </w:r>
    </w:p>
    <w:p w:rsidR="00FB1CFC" w:rsidRDefault="00000000">
      <w:pPr>
        <w:pStyle w:val="Heading2"/>
        <w:numPr>
          <w:ilvl w:val="1"/>
          <w:numId w:val="5"/>
        </w:numPr>
        <w:rPr>
          <w:rFonts w:eastAsia="Calibri" w:cs="Calibri"/>
        </w:rPr>
      </w:pPr>
      <w:r>
        <w:rPr>
          <w:rFonts w:eastAsia="Calibri" w:cs="Calibri"/>
        </w:rPr>
        <w:t>WAAROM</w:t>
      </w:r>
    </w:p>
    <w:p w:rsidR="00FB1CFC" w:rsidRDefault="00000000">
      <w:pPr>
        <w:jc w:val="both"/>
        <w:rPr>
          <w:sz w:val="20"/>
          <w:szCs w:val="20"/>
        </w:rPr>
      </w:pPr>
      <w:r>
        <w:rPr>
          <w:sz w:val="20"/>
          <w:szCs w:val="20"/>
        </w:rPr>
        <w:t xml:space="preserve">Een semantische standaard maakt het delen en uitwisselen van data tussen verschillende stakeholders gemakkelijker. Elke betrokkene kan de gegevens van de andere direct gebruiken en interpreteren. Dit stimuleert de uitwisseling en het hergebruik van gegevens en vermindert de kost van uitwisseling. De semantische standaard zorgt voor machine leesbare data. Het brengt eveneens een efficiëntiewinst met zich mee als de data in verschillende processen gebruikt kunnen worden.  </w:t>
      </w:r>
    </w:p>
    <w:p w:rsidR="00FB1CFC" w:rsidRDefault="00000000">
      <w:pPr>
        <w:jc w:val="both"/>
        <w:rPr>
          <w:sz w:val="20"/>
          <w:szCs w:val="20"/>
        </w:rPr>
      </w:pPr>
      <w:r>
        <w:rPr>
          <w:sz w:val="20"/>
          <w:szCs w:val="20"/>
        </w:rPr>
        <w:t>Het openstellen van semantische data bevordert innovatie en zal relevante stakeholders in staat stellen om intelligentere producten en diensten te ontwikkelen. Door het linken van data beschikken we ook over rijkere data. Uit verrijkte data kan ook meer kennis worden gehaald.</w:t>
      </w:r>
    </w:p>
    <w:p w:rsidR="00FB1CFC" w:rsidRDefault="00000000">
      <w:pPr>
        <w:jc w:val="both"/>
        <w:rPr>
          <w:sz w:val="20"/>
          <w:szCs w:val="20"/>
        </w:rPr>
      </w:pPr>
      <w:r>
        <w:rPr>
          <w:sz w:val="20"/>
          <w:szCs w:val="20"/>
        </w:rPr>
        <w:t xml:space="preserve">Samenwerken rond standaarden en het delen van data doorbreekt ook monopolies en geeft meer ontwikkelingskansen voor bv. ontwikkelaars, leveranciers, … en zorgt ervoor dat een bredere groep van relevante stakeholders betrokken wordt. </w:t>
      </w:r>
    </w:p>
    <w:p w:rsidR="00FB1CFC" w:rsidRDefault="00FB1CFC">
      <w:pPr>
        <w:jc w:val="both"/>
        <w:rPr>
          <w:sz w:val="20"/>
          <w:szCs w:val="20"/>
        </w:rPr>
      </w:pPr>
    </w:p>
    <w:p w:rsidR="00FB1CFC" w:rsidRDefault="00000000">
      <w:pPr>
        <w:jc w:val="both"/>
        <w:rPr>
          <w:sz w:val="20"/>
          <w:szCs w:val="20"/>
        </w:rPr>
      </w:pPr>
      <w:r>
        <w:rPr>
          <w:sz w:val="20"/>
          <w:szCs w:val="20"/>
        </w:rPr>
        <w:t xml:space="preserve">De uitwisseling van data rond fietsinfrastructuur en fietsgebruik is belangrijk voor alle processen waarbij deze data essentieel zijn. Uitwisseling van data en uniforme beschikbaarheid van deze leidt tot meer uniforme beleidskeuzes in Vlaanderen m.b.t. fietsinfrastructuur, betere planning en opvolging van de investeringen in fietsinfrastructuur, een uniforme monitoring van de kwaliteit van de infrastructuur en een zicht op de evolutie in het gebruik en tevredenheid van de fietsers, … </w:t>
      </w:r>
    </w:p>
    <w:p w:rsidR="00FB1CFC" w:rsidRDefault="00000000">
      <w:pPr>
        <w:pStyle w:val="Heading2"/>
        <w:numPr>
          <w:ilvl w:val="1"/>
          <w:numId w:val="5"/>
        </w:numPr>
        <w:pBdr>
          <w:top w:val="nil"/>
          <w:left w:val="nil"/>
          <w:bottom w:val="nil"/>
          <w:right w:val="nil"/>
          <w:between w:val="nil"/>
        </w:pBdr>
        <w:spacing w:line="400" w:lineRule="auto"/>
        <w:rPr>
          <w:rFonts w:eastAsia="Calibri" w:cs="Calibri"/>
        </w:rPr>
      </w:pPr>
      <w:r>
        <w:rPr>
          <w:rFonts w:eastAsia="Calibri" w:cs="Calibri"/>
        </w:rPr>
        <w:t>USE CASES</w:t>
      </w:r>
    </w:p>
    <w:p w:rsidR="00FB1CFC" w:rsidRDefault="00000000">
      <w:pPr>
        <w:rPr>
          <w:sz w:val="20"/>
          <w:szCs w:val="20"/>
        </w:rPr>
      </w:pPr>
      <w:r>
        <w:rPr>
          <w:sz w:val="20"/>
          <w:szCs w:val="20"/>
        </w:rPr>
        <w:t xml:space="preserve">Er zijn verschillende use cases waarvoor de standaardisatie binnen het domein fiets een meerwaarde betekent. </w:t>
      </w:r>
    </w:p>
    <w:p w:rsidR="00FB1CFC" w:rsidRDefault="00000000">
      <w:pPr>
        <w:rPr>
          <w:sz w:val="20"/>
          <w:szCs w:val="20"/>
        </w:rPr>
      </w:pPr>
      <w:r>
        <w:rPr>
          <w:sz w:val="20"/>
          <w:szCs w:val="20"/>
        </w:rPr>
        <w:t>Deze use cases dienen ter inspiratie:</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lastRenderedPageBreak/>
        <w:t>De ligging van het Bovenlokaal Functioneel Fietsroutenetwerk éénduidig bijhouden, door het formaliseren van de wijzigingsprocedures.</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Het BFF koppelen aan de werkelijke fietsinfrastructuur (fietspaden)</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Opstellen van een basis en uitgebreide set van inventarisatie parameters van de fietsinfrastructuur</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 xml:space="preserve">Formaliseren van de methodiek voor kwaliteitsscoring van de fietsinfrastructuur op basis van de geïnventariseerde parameters </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Formaliseren van de periodiciteit van inventarisatie en kwaliteitsscoring van de fietsinfrastructuur</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Bijhouden en visualiseren van geplande, in uitvoering zijnde en afgewerkte nieuwe fietsinfrastructuur</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Aanleveren en hergebruik van fietsteldata op vaste meetpunten</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Aanleveren en hergebruik van fietstrajecten door fietsers</w:t>
      </w:r>
    </w:p>
    <w:p w:rsidR="00FB1CFC" w:rsidRDefault="00000000">
      <w:pPr>
        <w:numPr>
          <w:ilvl w:val="0"/>
          <w:numId w:val="1"/>
        </w:numPr>
        <w:pBdr>
          <w:top w:val="nil"/>
          <w:left w:val="nil"/>
          <w:bottom w:val="nil"/>
          <w:right w:val="nil"/>
          <w:between w:val="nil"/>
        </w:pBdr>
        <w:spacing w:before="0" w:after="0" w:line="276" w:lineRule="auto"/>
        <w:ind w:left="714" w:hanging="357"/>
        <w:rPr>
          <w:color w:val="000000"/>
          <w:sz w:val="20"/>
          <w:szCs w:val="20"/>
        </w:rPr>
      </w:pPr>
      <w:r>
        <w:rPr>
          <w:color w:val="000000"/>
          <w:sz w:val="20"/>
          <w:szCs w:val="20"/>
        </w:rPr>
        <w:t>Aanleveren en hergebruik van ongevallen data m.b.t fietsers</w:t>
      </w:r>
    </w:p>
    <w:p w:rsidR="00FB1CFC" w:rsidRDefault="00FB1CFC">
      <w:pPr>
        <w:pBdr>
          <w:top w:val="nil"/>
          <w:left w:val="nil"/>
          <w:bottom w:val="nil"/>
          <w:right w:val="nil"/>
          <w:between w:val="nil"/>
        </w:pBdr>
        <w:spacing w:before="0" w:after="0" w:line="276" w:lineRule="auto"/>
        <w:rPr>
          <w:color w:val="000000"/>
          <w:sz w:val="20"/>
          <w:szCs w:val="20"/>
        </w:rPr>
      </w:pPr>
    </w:p>
    <w:p w:rsidR="00FB1CFC" w:rsidRDefault="00000000">
      <w:pPr>
        <w:pStyle w:val="Heading1"/>
        <w:numPr>
          <w:ilvl w:val="0"/>
          <w:numId w:val="5"/>
        </w:numPr>
        <w:pBdr>
          <w:top w:val="nil"/>
          <w:left w:val="nil"/>
          <w:bottom w:val="nil"/>
          <w:right w:val="nil"/>
          <w:between w:val="nil"/>
        </w:pBdr>
        <w:spacing w:line="432" w:lineRule="auto"/>
        <w:rPr>
          <w:rFonts w:eastAsia="Calibri" w:cs="Calibri"/>
          <w:sz w:val="48"/>
          <w:szCs w:val="48"/>
        </w:rPr>
      </w:pPr>
      <w:r>
        <w:rPr>
          <w:rFonts w:eastAsia="Calibri" w:cs="Calibri"/>
          <w:sz w:val="48"/>
          <w:szCs w:val="48"/>
        </w:rPr>
        <w:t>Scope</w:t>
      </w:r>
    </w:p>
    <w:p w:rsidR="00FB1CFC" w:rsidRDefault="00000000">
      <w:pPr>
        <w:spacing w:before="0" w:after="240" w:line="240" w:lineRule="auto"/>
        <w:rPr>
          <w:color w:val="000000"/>
          <w:sz w:val="20"/>
          <w:szCs w:val="20"/>
        </w:rPr>
      </w:pPr>
      <w:r>
        <w:rPr>
          <w:color w:val="000000"/>
          <w:sz w:val="20"/>
          <w:szCs w:val="20"/>
        </w:rPr>
        <w:t xml:space="preserve">De doelstelling van deze werkgroep is het in kaart brengen, definiëren en standaardiseren van informatie met betrekking tot </w:t>
      </w:r>
      <w:r>
        <w:rPr>
          <w:sz w:val="20"/>
          <w:szCs w:val="20"/>
        </w:rPr>
        <w:t>fietsinfrastructuur</w:t>
      </w:r>
      <w:r>
        <w:rPr>
          <w:color w:val="000000"/>
          <w:sz w:val="20"/>
          <w:szCs w:val="20"/>
        </w:rPr>
        <w:t>. Na de eerste business workshop hebben we een initiële scoping kunnen maken op basis van bovenstaande use cases:</w:t>
      </w:r>
    </w:p>
    <w:p w:rsidR="00FB1CFC" w:rsidRDefault="00000000">
      <w:pPr>
        <w:spacing w:before="0" w:after="200" w:line="276" w:lineRule="auto"/>
        <w:rPr>
          <w:color w:val="000000"/>
          <w:sz w:val="20"/>
          <w:szCs w:val="20"/>
        </w:rPr>
      </w:pPr>
      <w:r>
        <w:rPr>
          <w:color w:val="000000"/>
          <w:sz w:val="20"/>
          <w:szCs w:val="20"/>
        </w:rPr>
        <w:t xml:space="preserve">Volgende </w:t>
      </w:r>
      <w:r>
        <w:rPr>
          <w:sz w:val="20"/>
          <w:szCs w:val="20"/>
        </w:rPr>
        <w:t>entiteit</w:t>
      </w:r>
      <w:r>
        <w:rPr>
          <w:color w:val="000000"/>
          <w:sz w:val="20"/>
          <w:szCs w:val="20"/>
        </w:rPr>
        <w:t xml:space="preserve">en (objecten) zijn in scope: </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Fietsnetwerken</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Fietsinfrastructuur</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Eigenschappen van de fietsinfrastructuur ( breedte, verkeersborden, markeringen, snelheid, verlichting, etc.)</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Inventarisatie methodiek</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Kwaliteitsscoring</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Fietsinvesteringsprojecten</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Fietstellingen</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Afgelegde fietstrajecten door fietsers</w:t>
      </w:r>
    </w:p>
    <w:p w:rsidR="00FB1CFC" w:rsidRDefault="00000000">
      <w:pPr>
        <w:numPr>
          <w:ilvl w:val="0"/>
          <w:numId w:val="1"/>
        </w:numPr>
        <w:pBdr>
          <w:top w:val="nil"/>
          <w:left w:val="nil"/>
          <w:bottom w:val="nil"/>
          <w:right w:val="nil"/>
          <w:between w:val="nil"/>
        </w:pBdr>
        <w:spacing w:before="0" w:after="0" w:line="276" w:lineRule="auto"/>
        <w:ind w:left="714" w:hanging="357"/>
        <w:rPr>
          <w:sz w:val="20"/>
          <w:szCs w:val="20"/>
        </w:rPr>
      </w:pPr>
      <w:r>
        <w:rPr>
          <w:sz w:val="20"/>
          <w:szCs w:val="20"/>
        </w:rPr>
        <w:t>Fietsongevallen</w:t>
      </w:r>
    </w:p>
    <w:p w:rsidR="00FB1CFC" w:rsidRDefault="00000000">
      <w:pPr>
        <w:spacing w:line="276" w:lineRule="auto"/>
        <w:rPr>
          <w:b/>
          <w:smallCaps/>
          <w:color w:val="373636"/>
          <w:sz w:val="48"/>
          <w:szCs w:val="48"/>
        </w:rPr>
      </w:pPr>
      <w:r>
        <w:br w:type="page"/>
      </w:r>
    </w:p>
    <w:p w:rsidR="00FB1CFC" w:rsidRDefault="00000000">
      <w:pPr>
        <w:pStyle w:val="Heading1"/>
        <w:numPr>
          <w:ilvl w:val="0"/>
          <w:numId w:val="5"/>
        </w:numPr>
        <w:pBdr>
          <w:top w:val="nil"/>
          <w:left w:val="nil"/>
          <w:bottom w:val="nil"/>
          <w:right w:val="nil"/>
          <w:between w:val="nil"/>
        </w:pBdr>
        <w:spacing w:line="432" w:lineRule="auto"/>
        <w:rPr>
          <w:rFonts w:eastAsia="Calibri" w:cs="Calibri"/>
          <w:sz w:val="48"/>
          <w:szCs w:val="48"/>
        </w:rPr>
      </w:pPr>
      <w:r>
        <w:rPr>
          <w:rFonts w:eastAsia="Calibri" w:cs="Calibri"/>
          <w:sz w:val="48"/>
          <w:szCs w:val="48"/>
        </w:rPr>
        <w:lastRenderedPageBreak/>
        <w:t>Stakeholders</w:t>
      </w:r>
    </w:p>
    <w:p w:rsidR="00FB1CFC" w:rsidRDefault="00000000">
      <w:pPr>
        <w:spacing w:before="0" w:after="240" w:line="240" w:lineRule="auto"/>
        <w:jc w:val="both"/>
        <w:rPr>
          <w:color w:val="000000"/>
          <w:sz w:val="20"/>
          <w:szCs w:val="20"/>
        </w:rPr>
      </w:pPr>
      <w:r>
        <w:rPr>
          <w:color w:val="000000"/>
          <w:sz w:val="20"/>
          <w:szCs w:val="20"/>
        </w:rPr>
        <w:t>De belanghebbenden van dit traject zijn onder meer:</w:t>
      </w:r>
    </w:p>
    <w:tbl>
      <w:tblPr>
        <w:tblStyle w:val="a3"/>
        <w:tblW w:w="959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539"/>
        <w:gridCol w:w="6053"/>
      </w:tblGrid>
      <w:tr w:rsidR="00FB1CFC">
        <w:tc>
          <w:tcPr>
            <w:tcW w:w="3539" w:type="dxa"/>
          </w:tcPr>
          <w:p w:rsidR="00FB1CFC" w:rsidRDefault="00000000">
            <w:pPr>
              <w:rPr>
                <w:b/>
                <w:sz w:val="20"/>
                <w:szCs w:val="20"/>
              </w:rPr>
            </w:pPr>
            <w:r>
              <w:rPr>
                <w:b/>
                <w:color w:val="000000"/>
                <w:sz w:val="20"/>
                <w:szCs w:val="20"/>
              </w:rPr>
              <w:t>Stakeholder type</w:t>
            </w:r>
          </w:p>
        </w:tc>
        <w:tc>
          <w:tcPr>
            <w:tcW w:w="6053" w:type="dxa"/>
          </w:tcPr>
          <w:p w:rsidR="00FB1CFC" w:rsidRDefault="00000000">
            <w:pPr>
              <w:rPr>
                <w:b/>
                <w:i/>
                <w:sz w:val="20"/>
                <w:szCs w:val="20"/>
              </w:rPr>
            </w:pPr>
            <w:r>
              <w:rPr>
                <w:b/>
                <w:color w:val="000000"/>
                <w:sz w:val="20"/>
                <w:szCs w:val="20"/>
              </w:rPr>
              <w:t>Voorbeelden</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Vlaamse Overheid – entiteiten binnen beleidsdomein MOW</w:t>
            </w:r>
          </w:p>
        </w:tc>
        <w:tc>
          <w:tcPr>
            <w:tcW w:w="6053" w:type="dxa"/>
          </w:tcPr>
          <w:p w:rsidR="00FB1CFC" w:rsidRDefault="00000000">
            <w:pPr>
              <w:numPr>
                <w:ilvl w:val="0"/>
                <w:numId w:val="2"/>
              </w:numPr>
              <w:spacing w:before="0"/>
              <w:jc w:val="both"/>
              <w:rPr>
                <w:color w:val="000000"/>
                <w:sz w:val="20"/>
                <w:szCs w:val="20"/>
              </w:rPr>
            </w:pPr>
            <w:r>
              <w:rPr>
                <w:color w:val="000000"/>
                <w:sz w:val="20"/>
                <w:szCs w:val="20"/>
              </w:rPr>
              <w:t>DMOW – Afdeling Beleid</w:t>
            </w:r>
          </w:p>
          <w:p w:rsidR="00FB1CFC" w:rsidRDefault="00000000">
            <w:pPr>
              <w:numPr>
                <w:ilvl w:val="0"/>
                <w:numId w:val="2"/>
              </w:numPr>
              <w:spacing w:before="0"/>
              <w:jc w:val="both"/>
              <w:rPr>
                <w:color w:val="000000"/>
                <w:sz w:val="20"/>
                <w:szCs w:val="20"/>
              </w:rPr>
            </w:pPr>
            <w:r>
              <w:rPr>
                <w:color w:val="000000"/>
                <w:sz w:val="20"/>
                <w:szCs w:val="20"/>
              </w:rPr>
              <w:t>Wegbeheerders</w:t>
            </w:r>
          </w:p>
          <w:p w:rsidR="00FB1CFC" w:rsidRDefault="00000000">
            <w:pPr>
              <w:numPr>
                <w:ilvl w:val="1"/>
                <w:numId w:val="2"/>
              </w:numPr>
              <w:spacing w:before="0"/>
              <w:jc w:val="both"/>
              <w:rPr>
                <w:color w:val="000000"/>
                <w:sz w:val="20"/>
                <w:szCs w:val="20"/>
              </w:rPr>
            </w:pPr>
            <w:r>
              <w:rPr>
                <w:color w:val="000000"/>
                <w:sz w:val="20"/>
                <w:szCs w:val="20"/>
              </w:rPr>
              <w:t>DMOW – Afdeling Maritieme toegang</w:t>
            </w:r>
          </w:p>
          <w:p w:rsidR="00FB1CFC" w:rsidRDefault="00000000">
            <w:pPr>
              <w:numPr>
                <w:ilvl w:val="1"/>
                <w:numId w:val="2"/>
              </w:numPr>
              <w:spacing w:before="0"/>
              <w:jc w:val="both"/>
              <w:rPr>
                <w:color w:val="000000"/>
                <w:sz w:val="20"/>
                <w:szCs w:val="20"/>
              </w:rPr>
            </w:pPr>
            <w:r>
              <w:rPr>
                <w:color w:val="000000"/>
                <w:sz w:val="20"/>
                <w:szCs w:val="20"/>
              </w:rPr>
              <w:t>AWV (Wegen en Verkeer)</w:t>
            </w:r>
          </w:p>
          <w:p w:rsidR="00FB1CFC" w:rsidRDefault="00000000">
            <w:pPr>
              <w:numPr>
                <w:ilvl w:val="1"/>
                <w:numId w:val="2"/>
              </w:numPr>
              <w:spacing w:before="0"/>
              <w:jc w:val="both"/>
              <w:rPr>
                <w:color w:val="000000"/>
                <w:sz w:val="20"/>
                <w:szCs w:val="20"/>
              </w:rPr>
            </w:pPr>
            <w:r>
              <w:rPr>
                <w:color w:val="000000"/>
                <w:sz w:val="20"/>
                <w:szCs w:val="20"/>
              </w:rPr>
              <w:t>DVW (Vlaamse Waterweg)</w:t>
            </w:r>
          </w:p>
          <w:p w:rsidR="00FB1CFC" w:rsidRDefault="00000000">
            <w:pPr>
              <w:numPr>
                <w:ilvl w:val="1"/>
                <w:numId w:val="2"/>
              </w:numPr>
              <w:spacing w:before="0"/>
              <w:jc w:val="both"/>
              <w:rPr>
                <w:color w:val="000000"/>
                <w:sz w:val="20"/>
                <w:szCs w:val="20"/>
              </w:rPr>
            </w:pPr>
            <w:r>
              <w:rPr>
                <w:color w:val="000000"/>
                <w:sz w:val="20"/>
                <w:szCs w:val="20"/>
              </w:rPr>
              <w:t>Werkvenootschap</w:t>
            </w:r>
          </w:p>
          <w:p w:rsidR="00FB1CFC" w:rsidRDefault="00000000">
            <w:pPr>
              <w:numPr>
                <w:ilvl w:val="1"/>
                <w:numId w:val="2"/>
              </w:numPr>
              <w:spacing w:before="0"/>
              <w:jc w:val="both"/>
              <w:rPr>
                <w:color w:val="000000"/>
                <w:sz w:val="20"/>
                <w:szCs w:val="20"/>
              </w:rPr>
            </w:pPr>
            <w:r>
              <w:rPr>
                <w:color w:val="000000"/>
                <w:sz w:val="20"/>
                <w:szCs w:val="20"/>
              </w:rPr>
              <w:t>Lantis</w:t>
            </w:r>
          </w:p>
          <w:p w:rsidR="00FB1CFC" w:rsidRDefault="00000000">
            <w:pPr>
              <w:numPr>
                <w:ilvl w:val="1"/>
                <w:numId w:val="2"/>
              </w:numPr>
              <w:spacing w:before="0"/>
              <w:jc w:val="both"/>
              <w:rPr>
                <w:color w:val="000000"/>
                <w:sz w:val="20"/>
                <w:szCs w:val="20"/>
              </w:rPr>
            </w:pPr>
            <w:r>
              <w:rPr>
                <w:color w:val="000000"/>
                <w:sz w:val="20"/>
                <w:szCs w:val="20"/>
              </w:rPr>
              <w:t>MDK</w:t>
            </w:r>
          </w:p>
          <w:p w:rsidR="00FB1CFC" w:rsidRDefault="00000000">
            <w:pPr>
              <w:numPr>
                <w:ilvl w:val="1"/>
                <w:numId w:val="2"/>
              </w:numPr>
              <w:spacing w:before="0"/>
              <w:jc w:val="both"/>
              <w:rPr>
                <w:color w:val="000000"/>
                <w:sz w:val="20"/>
                <w:szCs w:val="20"/>
              </w:rPr>
            </w:pPr>
            <w:r>
              <w:rPr>
                <w:color w:val="000000"/>
                <w:sz w:val="20"/>
                <w:szCs w:val="20"/>
              </w:rPr>
              <w:t>De Lijn</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Vlaamse Overheid – entiteiten binnen andere beleidsdomeinen</w:t>
            </w:r>
          </w:p>
        </w:tc>
        <w:tc>
          <w:tcPr>
            <w:tcW w:w="6053" w:type="dxa"/>
          </w:tcPr>
          <w:p w:rsidR="00FB1CFC" w:rsidRDefault="00000000">
            <w:pPr>
              <w:numPr>
                <w:ilvl w:val="0"/>
                <w:numId w:val="2"/>
              </w:numPr>
              <w:spacing w:before="0"/>
              <w:jc w:val="both"/>
              <w:rPr>
                <w:color w:val="000000"/>
                <w:sz w:val="20"/>
                <w:szCs w:val="20"/>
              </w:rPr>
            </w:pPr>
            <w:r>
              <w:rPr>
                <w:color w:val="000000"/>
                <w:sz w:val="20"/>
                <w:szCs w:val="20"/>
              </w:rPr>
              <w:t>AIV</w:t>
            </w:r>
          </w:p>
          <w:p w:rsidR="00FB1CFC" w:rsidRDefault="00000000">
            <w:pPr>
              <w:numPr>
                <w:ilvl w:val="0"/>
                <w:numId w:val="2"/>
              </w:numPr>
              <w:spacing w:before="0"/>
              <w:jc w:val="both"/>
              <w:rPr>
                <w:color w:val="000000"/>
                <w:sz w:val="20"/>
                <w:szCs w:val="20"/>
              </w:rPr>
            </w:pPr>
            <w:r>
              <w:rPr>
                <w:color w:val="000000"/>
                <w:sz w:val="20"/>
                <w:szCs w:val="20"/>
              </w:rPr>
              <w:t>Toerisme Vlaanderen</w:t>
            </w:r>
          </w:p>
          <w:p w:rsidR="00FB1CFC" w:rsidRDefault="00000000">
            <w:pPr>
              <w:numPr>
                <w:ilvl w:val="0"/>
                <w:numId w:val="2"/>
              </w:numPr>
              <w:spacing w:before="0"/>
              <w:jc w:val="both"/>
              <w:rPr>
                <w:color w:val="000000"/>
                <w:sz w:val="20"/>
                <w:szCs w:val="20"/>
              </w:rPr>
            </w:pPr>
            <w:r>
              <w:rPr>
                <w:color w:val="000000"/>
                <w:sz w:val="20"/>
                <w:szCs w:val="20"/>
              </w:rPr>
              <w:t>Sport Vlaanderen</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Universiteiten – hogescholen</w:t>
            </w:r>
          </w:p>
        </w:tc>
        <w:tc>
          <w:tcPr>
            <w:tcW w:w="6053" w:type="dxa"/>
          </w:tcPr>
          <w:p w:rsidR="00FB1CFC" w:rsidRDefault="00000000">
            <w:pPr>
              <w:numPr>
                <w:ilvl w:val="0"/>
                <w:numId w:val="2"/>
              </w:numPr>
              <w:spacing w:before="0"/>
              <w:jc w:val="both"/>
              <w:rPr>
                <w:color w:val="000000"/>
                <w:sz w:val="20"/>
                <w:szCs w:val="20"/>
              </w:rPr>
            </w:pPr>
            <w:r>
              <w:rPr>
                <w:color w:val="000000"/>
                <w:sz w:val="20"/>
                <w:szCs w:val="20"/>
              </w:rPr>
              <w:t>Vakgroep Geografie</w:t>
            </w:r>
          </w:p>
          <w:p w:rsidR="00FB1CFC" w:rsidRDefault="00000000">
            <w:pPr>
              <w:numPr>
                <w:ilvl w:val="0"/>
                <w:numId w:val="2"/>
              </w:numPr>
              <w:spacing w:before="0"/>
              <w:jc w:val="both"/>
              <w:rPr>
                <w:color w:val="000000"/>
                <w:sz w:val="20"/>
                <w:szCs w:val="20"/>
              </w:rPr>
            </w:pPr>
            <w:r>
              <w:rPr>
                <w:color w:val="000000"/>
                <w:sz w:val="20"/>
                <w:szCs w:val="20"/>
              </w:rPr>
              <w:t>Vakgroep Civiele techniek</w:t>
            </w:r>
          </w:p>
          <w:p w:rsidR="00FB1CFC" w:rsidRDefault="00000000">
            <w:pPr>
              <w:numPr>
                <w:ilvl w:val="0"/>
                <w:numId w:val="2"/>
              </w:numPr>
              <w:spacing w:before="0"/>
              <w:jc w:val="both"/>
              <w:rPr>
                <w:color w:val="000000"/>
                <w:sz w:val="20"/>
                <w:szCs w:val="20"/>
              </w:rPr>
            </w:pPr>
            <w:r>
              <w:rPr>
                <w:color w:val="000000"/>
                <w:sz w:val="20"/>
                <w:szCs w:val="20"/>
              </w:rPr>
              <w:t>IDLab (UGent)</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Adviesbureaus</w:t>
            </w:r>
          </w:p>
        </w:tc>
        <w:tc>
          <w:tcPr>
            <w:tcW w:w="6053" w:type="dxa"/>
          </w:tcPr>
          <w:p w:rsidR="00FB1CFC" w:rsidRDefault="00000000">
            <w:pPr>
              <w:numPr>
                <w:ilvl w:val="0"/>
                <w:numId w:val="2"/>
              </w:numPr>
              <w:spacing w:before="0"/>
              <w:jc w:val="both"/>
              <w:rPr>
                <w:color w:val="000000"/>
                <w:sz w:val="20"/>
                <w:szCs w:val="20"/>
              </w:rPr>
            </w:pPr>
            <w:bookmarkStart w:id="0" w:name="_heading=h.30j0zll" w:colFirst="0" w:colLast="0"/>
            <w:bookmarkEnd w:id="0"/>
            <w:r>
              <w:rPr>
                <w:color w:val="000000"/>
                <w:sz w:val="20"/>
                <w:szCs w:val="20"/>
              </w:rPr>
              <w:t>Telraam</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Aannemers</w:t>
            </w:r>
          </w:p>
        </w:tc>
        <w:tc>
          <w:tcPr>
            <w:tcW w:w="6053" w:type="dxa"/>
          </w:tcPr>
          <w:p w:rsidR="00FB1CFC" w:rsidRDefault="00000000">
            <w:pPr>
              <w:numPr>
                <w:ilvl w:val="0"/>
                <w:numId w:val="2"/>
              </w:numPr>
              <w:spacing w:before="0"/>
              <w:jc w:val="both"/>
              <w:rPr>
                <w:color w:val="000000"/>
                <w:sz w:val="20"/>
                <w:szCs w:val="20"/>
              </w:rPr>
            </w:pPr>
            <w:r>
              <w:rPr>
                <w:color w:val="000000"/>
                <w:sz w:val="20"/>
                <w:szCs w:val="20"/>
              </w:rPr>
              <w:t>Aanleg fietsinfrastructuur</w:t>
            </w:r>
          </w:p>
          <w:p w:rsidR="00FB1CFC" w:rsidRDefault="00000000">
            <w:pPr>
              <w:numPr>
                <w:ilvl w:val="0"/>
                <w:numId w:val="2"/>
              </w:numPr>
              <w:spacing w:before="0"/>
              <w:jc w:val="both"/>
              <w:rPr>
                <w:color w:val="000000"/>
                <w:sz w:val="20"/>
                <w:szCs w:val="20"/>
              </w:rPr>
            </w:pPr>
            <w:r>
              <w:rPr>
                <w:color w:val="000000"/>
                <w:sz w:val="20"/>
                <w:szCs w:val="20"/>
              </w:rPr>
              <w:t>…</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Lokale overheden</w:t>
            </w:r>
          </w:p>
        </w:tc>
        <w:tc>
          <w:tcPr>
            <w:tcW w:w="6053" w:type="dxa"/>
          </w:tcPr>
          <w:p w:rsidR="00FB1CFC" w:rsidRDefault="00000000">
            <w:pPr>
              <w:numPr>
                <w:ilvl w:val="0"/>
                <w:numId w:val="2"/>
              </w:numPr>
              <w:ind w:left="714" w:hanging="357"/>
              <w:jc w:val="both"/>
              <w:rPr>
                <w:color w:val="000000"/>
                <w:sz w:val="20"/>
                <w:szCs w:val="20"/>
              </w:rPr>
            </w:pPr>
            <w:r>
              <w:rPr>
                <w:color w:val="000000"/>
                <w:sz w:val="20"/>
                <w:szCs w:val="20"/>
              </w:rPr>
              <w:t xml:space="preserve">Gemeentelijke diensten openbare werken </w:t>
            </w:r>
          </w:p>
          <w:p w:rsidR="00FB1CFC" w:rsidRDefault="00000000">
            <w:pPr>
              <w:numPr>
                <w:ilvl w:val="0"/>
                <w:numId w:val="2"/>
              </w:numPr>
              <w:ind w:left="714" w:hanging="357"/>
              <w:jc w:val="both"/>
              <w:rPr>
                <w:color w:val="000000"/>
                <w:sz w:val="20"/>
                <w:szCs w:val="20"/>
              </w:rPr>
            </w:pPr>
            <w:r>
              <w:rPr>
                <w:color w:val="000000"/>
                <w:sz w:val="20"/>
                <w:szCs w:val="20"/>
              </w:rPr>
              <w:t>VVSG</w:t>
            </w:r>
          </w:p>
          <w:p w:rsidR="00FB1CFC" w:rsidRDefault="00000000">
            <w:pPr>
              <w:numPr>
                <w:ilvl w:val="0"/>
                <w:numId w:val="2"/>
              </w:numPr>
              <w:ind w:left="714" w:hanging="357"/>
              <w:jc w:val="both"/>
              <w:rPr>
                <w:color w:val="000000"/>
                <w:sz w:val="20"/>
                <w:szCs w:val="20"/>
              </w:rPr>
            </w:pPr>
            <w:r>
              <w:rPr>
                <w:color w:val="000000"/>
                <w:sz w:val="20"/>
                <w:szCs w:val="20"/>
              </w:rPr>
              <w:t>Provinciale mobiliteitsafdelingen</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Federale overheid</w:t>
            </w:r>
          </w:p>
        </w:tc>
        <w:tc>
          <w:tcPr>
            <w:tcW w:w="6053" w:type="dxa"/>
          </w:tcPr>
          <w:p w:rsidR="00FB1CFC" w:rsidRDefault="00000000">
            <w:pPr>
              <w:numPr>
                <w:ilvl w:val="0"/>
                <w:numId w:val="2"/>
              </w:numPr>
              <w:ind w:left="714" w:hanging="357"/>
              <w:jc w:val="both"/>
              <w:rPr>
                <w:color w:val="000000"/>
                <w:sz w:val="20"/>
                <w:szCs w:val="20"/>
              </w:rPr>
            </w:pPr>
            <w:r>
              <w:rPr>
                <w:color w:val="000000"/>
                <w:sz w:val="20"/>
                <w:szCs w:val="20"/>
              </w:rPr>
              <w:t>FOD Mobiliteit</w:t>
            </w:r>
          </w:p>
          <w:p w:rsidR="00FB1CFC" w:rsidRDefault="00000000">
            <w:pPr>
              <w:numPr>
                <w:ilvl w:val="0"/>
                <w:numId w:val="2"/>
              </w:numPr>
              <w:ind w:left="714" w:hanging="357"/>
              <w:jc w:val="both"/>
              <w:rPr>
                <w:color w:val="000000"/>
                <w:sz w:val="20"/>
                <w:szCs w:val="20"/>
              </w:rPr>
            </w:pPr>
            <w:r>
              <w:rPr>
                <w:color w:val="000000"/>
                <w:sz w:val="20"/>
                <w:szCs w:val="20"/>
              </w:rPr>
              <w:t>Brussel</w:t>
            </w:r>
          </w:p>
          <w:p w:rsidR="00FB1CFC" w:rsidRDefault="00000000">
            <w:pPr>
              <w:numPr>
                <w:ilvl w:val="0"/>
                <w:numId w:val="2"/>
              </w:numPr>
              <w:ind w:left="714" w:hanging="357"/>
              <w:jc w:val="both"/>
              <w:rPr>
                <w:color w:val="000000"/>
                <w:sz w:val="20"/>
                <w:szCs w:val="20"/>
              </w:rPr>
            </w:pPr>
            <w:r>
              <w:rPr>
                <w:color w:val="000000"/>
                <w:sz w:val="20"/>
                <w:szCs w:val="20"/>
              </w:rPr>
              <w:t>Wallonie</w:t>
            </w:r>
          </w:p>
        </w:tc>
      </w:tr>
      <w:tr w:rsidR="00FB1CFC">
        <w:tc>
          <w:tcPr>
            <w:tcW w:w="3539" w:type="dxa"/>
          </w:tcPr>
          <w:p w:rsidR="00FB1CFC" w:rsidRDefault="00000000">
            <w:pPr>
              <w:pBdr>
                <w:top w:val="nil"/>
                <w:left w:val="nil"/>
                <w:bottom w:val="nil"/>
                <w:right w:val="nil"/>
                <w:between w:val="nil"/>
              </w:pBdr>
              <w:spacing w:line="240" w:lineRule="auto"/>
              <w:rPr>
                <w:color w:val="000000"/>
                <w:sz w:val="20"/>
                <w:szCs w:val="20"/>
              </w:rPr>
            </w:pPr>
            <w:r>
              <w:rPr>
                <w:color w:val="000000"/>
                <w:sz w:val="20"/>
                <w:szCs w:val="20"/>
              </w:rPr>
              <w:t>Sectororganisaties - middenveld</w:t>
            </w:r>
          </w:p>
        </w:tc>
        <w:tc>
          <w:tcPr>
            <w:tcW w:w="6053" w:type="dxa"/>
          </w:tcPr>
          <w:p w:rsidR="00FB1CFC" w:rsidRDefault="00000000">
            <w:pPr>
              <w:numPr>
                <w:ilvl w:val="0"/>
                <w:numId w:val="2"/>
              </w:numPr>
              <w:ind w:left="714" w:hanging="357"/>
              <w:jc w:val="both"/>
              <w:rPr>
                <w:color w:val="000000"/>
                <w:sz w:val="20"/>
                <w:szCs w:val="20"/>
              </w:rPr>
            </w:pPr>
            <w:r>
              <w:rPr>
                <w:color w:val="000000"/>
                <w:sz w:val="20"/>
                <w:szCs w:val="20"/>
              </w:rPr>
              <w:t>Fietsberaad</w:t>
            </w:r>
          </w:p>
          <w:p w:rsidR="00FB1CFC" w:rsidRDefault="00000000">
            <w:pPr>
              <w:numPr>
                <w:ilvl w:val="0"/>
                <w:numId w:val="2"/>
              </w:numPr>
              <w:ind w:left="714" w:hanging="357"/>
              <w:jc w:val="both"/>
              <w:rPr>
                <w:color w:val="000000"/>
                <w:sz w:val="20"/>
                <w:szCs w:val="20"/>
              </w:rPr>
            </w:pPr>
            <w:r>
              <w:rPr>
                <w:color w:val="000000"/>
                <w:sz w:val="20"/>
                <w:szCs w:val="20"/>
              </w:rPr>
              <w:t>Fietsersbond</w:t>
            </w:r>
          </w:p>
        </w:tc>
      </w:tr>
    </w:tbl>
    <w:p w:rsidR="00FB1CFC" w:rsidRDefault="00000000">
      <w:pPr>
        <w:pStyle w:val="Heading2"/>
        <w:numPr>
          <w:ilvl w:val="1"/>
          <w:numId w:val="5"/>
        </w:numPr>
        <w:pBdr>
          <w:top w:val="nil"/>
          <w:left w:val="nil"/>
          <w:bottom w:val="nil"/>
          <w:right w:val="nil"/>
          <w:between w:val="nil"/>
        </w:pBdr>
        <w:spacing w:line="400" w:lineRule="auto"/>
        <w:rPr>
          <w:rFonts w:eastAsia="Calibri" w:cs="Calibri"/>
        </w:rPr>
      </w:pPr>
      <w:r>
        <w:rPr>
          <w:rFonts w:eastAsia="Calibri" w:cs="Calibri"/>
        </w:rPr>
        <w:lastRenderedPageBreak/>
        <w:t>Succescriteria</w:t>
      </w:r>
    </w:p>
    <w:p w:rsidR="00FB1CFC" w:rsidRDefault="00000000">
      <w:pPr>
        <w:pBdr>
          <w:top w:val="nil"/>
          <w:left w:val="nil"/>
          <w:bottom w:val="nil"/>
          <w:right w:val="nil"/>
          <w:between w:val="nil"/>
        </w:pBdr>
        <w:spacing w:line="276" w:lineRule="auto"/>
        <w:jc w:val="both"/>
        <w:rPr>
          <w:color w:val="000000"/>
          <w:sz w:val="20"/>
          <w:szCs w:val="20"/>
        </w:rPr>
      </w:pPr>
      <w:r>
        <w:rPr>
          <w:color w:val="000000"/>
          <w:sz w:val="20"/>
          <w:szCs w:val="20"/>
        </w:rPr>
        <w:t xml:space="preserve">Dit traject zal als een succes worden beschouwd wanneer de deliverables wijdverspreid gebruikt en toegepast worden. In eerste instantie binnen </w:t>
      </w:r>
      <w:r>
        <w:rPr>
          <w:sz w:val="20"/>
          <w:szCs w:val="20"/>
        </w:rPr>
        <w:t>de fietsensector</w:t>
      </w:r>
      <w:r>
        <w:rPr>
          <w:color w:val="000000"/>
          <w:sz w:val="20"/>
          <w:szCs w:val="20"/>
        </w:rPr>
        <w:t xml:space="preserve"> in Vlaanderen maar ook daarbuiten.</w:t>
      </w:r>
    </w:p>
    <w:p w:rsidR="00FB1CFC" w:rsidRDefault="00000000">
      <w:pPr>
        <w:pBdr>
          <w:top w:val="nil"/>
          <w:left w:val="nil"/>
          <w:bottom w:val="nil"/>
          <w:right w:val="nil"/>
          <w:between w:val="nil"/>
        </w:pBdr>
        <w:spacing w:line="276" w:lineRule="auto"/>
        <w:jc w:val="both"/>
        <w:rPr>
          <w:color w:val="000000"/>
          <w:sz w:val="20"/>
          <w:szCs w:val="20"/>
        </w:rPr>
      </w:pPr>
      <w:r>
        <w:rPr>
          <w:color w:val="000000"/>
          <w:sz w:val="20"/>
          <w:szCs w:val="20"/>
        </w:rPr>
        <w:t>In het bijzonder lijsten we volgende criteria op:</w:t>
      </w:r>
    </w:p>
    <w:p w:rsidR="00FB1CFC" w:rsidRDefault="00000000">
      <w:pPr>
        <w:numPr>
          <w:ilvl w:val="0"/>
          <w:numId w:val="3"/>
        </w:numPr>
        <w:pBdr>
          <w:top w:val="nil"/>
          <w:left w:val="nil"/>
          <w:bottom w:val="nil"/>
          <w:right w:val="nil"/>
          <w:between w:val="nil"/>
        </w:pBdr>
        <w:spacing w:before="0" w:after="0" w:line="240" w:lineRule="auto"/>
        <w:jc w:val="both"/>
        <w:rPr>
          <w:color w:val="000000"/>
          <w:sz w:val="16"/>
          <w:szCs w:val="16"/>
        </w:rPr>
      </w:pPr>
      <w:r>
        <w:rPr>
          <w:color w:val="000000"/>
          <w:sz w:val="20"/>
          <w:szCs w:val="20"/>
        </w:rPr>
        <w:t>Er is maximaal afgestemd met alle stakeholders die vertegenwoordigd zijn in minstens een van de werkgroep sessies </w:t>
      </w:r>
    </w:p>
    <w:p w:rsidR="00FB1CFC" w:rsidRDefault="00000000">
      <w:pPr>
        <w:numPr>
          <w:ilvl w:val="0"/>
          <w:numId w:val="3"/>
        </w:numPr>
        <w:pBdr>
          <w:top w:val="nil"/>
          <w:left w:val="nil"/>
          <w:bottom w:val="nil"/>
          <w:right w:val="nil"/>
          <w:between w:val="nil"/>
        </w:pBdr>
        <w:spacing w:before="0" w:after="0" w:line="240" w:lineRule="auto"/>
        <w:jc w:val="both"/>
        <w:rPr>
          <w:color w:val="000000"/>
          <w:sz w:val="16"/>
          <w:szCs w:val="16"/>
        </w:rPr>
      </w:pPr>
      <w:r>
        <w:rPr>
          <w:color w:val="000000"/>
          <w:sz w:val="20"/>
          <w:szCs w:val="20"/>
        </w:rPr>
        <w:t>De werkgroep sessies resulteren in een stabiele kandidaat standaard die een consensus vertegenwoordigd van alle deelnemers </w:t>
      </w:r>
    </w:p>
    <w:p w:rsidR="00FB1CFC" w:rsidRDefault="00000000">
      <w:pPr>
        <w:numPr>
          <w:ilvl w:val="0"/>
          <w:numId w:val="3"/>
        </w:numPr>
        <w:pBdr>
          <w:top w:val="nil"/>
          <w:left w:val="nil"/>
          <w:bottom w:val="nil"/>
          <w:right w:val="nil"/>
          <w:between w:val="nil"/>
        </w:pBdr>
        <w:spacing w:before="0" w:after="0" w:line="240" w:lineRule="auto"/>
        <w:rPr>
          <w:color w:val="000000"/>
          <w:sz w:val="16"/>
          <w:szCs w:val="16"/>
        </w:rPr>
      </w:pPr>
      <w:r>
        <w:rPr>
          <w:color w:val="000000"/>
          <w:sz w:val="20"/>
          <w:szCs w:val="20"/>
        </w:rPr>
        <w:t>De specificatie wordt aanvaard door de werkgroep datastandaarden en het Stuurorgaan Vlaams informatie- en ICT beleid. </w:t>
      </w:r>
    </w:p>
    <w:p w:rsidR="00FB1CFC" w:rsidRDefault="00000000">
      <w:pPr>
        <w:numPr>
          <w:ilvl w:val="0"/>
          <w:numId w:val="3"/>
        </w:numPr>
        <w:pBdr>
          <w:top w:val="nil"/>
          <w:left w:val="nil"/>
          <w:bottom w:val="nil"/>
          <w:right w:val="nil"/>
          <w:between w:val="nil"/>
        </w:pBdr>
        <w:spacing w:before="0" w:after="0" w:line="240" w:lineRule="auto"/>
        <w:jc w:val="both"/>
        <w:rPr>
          <w:color w:val="000000"/>
          <w:sz w:val="16"/>
          <w:szCs w:val="16"/>
        </w:rPr>
      </w:pPr>
      <w:r>
        <w:rPr>
          <w:color w:val="000000"/>
          <w:sz w:val="20"/>
          <w:szCs w:val="20"/>
        </w:rPr>
        <w:t>Er zijn tools ter beschikking om implementaties te ondersteunen en te valideren. </w:t>
      </w:r>
    </w:p>
    <w:p w:rsidR="00FB1CFC" w:rsidRDefault="00000000">
      <w:pPr>
        <w:numPr>
          <w:ilvl w:val="0"/>
          <w:numId w:val="3"/>
        </w:numPr>
        <w:pBdr>
          <w:top w:val="nil"/>
          <w:left w:val="nil"/>
          <w:bottom w:val="nil"/>
          <w:right w:val="nil"/>
          <w:between w:val="nil"/>
        </w:pBdr>
        <w:spacing w:before="0" w:after="0" w:line="240" w:lineRule="auto"/>
        <w:rPr>
          <w:color w:val="000000"/>
          <w:sz w:val="16"/>
          <w:szCs w:val="16"/>
        </w:rPr>
      </w:pPr>
      <w:r>
        <w:rPr>
          <w:color w:val="000000"/>
          <w:sz w:val="20"/>
          <w:szCs w:val="20"/>
        </w:rPr>
        <w:t>De specificatie werd geïmplementeerd in minstens één proof-of-concept die de meerwaarde van de specificatie in de praktijk bewijzen. </w:t>
      </w:r>
    </w:p>
    <w:p w:rsidR="00FB1CFC" w:rsidRDefault="00000000">
      <w:pPr>
        <w:pStyle w:val="Heading1"/>
        <w:numPr>
          <w:ilvl w:val="0"/>
          <w:numId w:val="5"/>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t>Deliverables</w:t>
      </w:r>
    </w:p>
    <w:p w:rsidR="00FB1CFC" w:rsidRDefault="00000000">
      <w:pPr>
        <w:spacing w:before="0" w:after="0" w:line="240" w:lineRule="auto"/>
        <w:ind w:left="360"/>
        <w:jc w:val="both"/>
        <w:rPr>
          <w:sz w:val="20"/>
          <w:szCs w:val="20"/>
        </w:rPr>
      </w:pPr>
      <w:r>
        <w:rPr>
          <w:color w:val="000000"/>
          <w:sz w:val="20"/>
          <w:szCs w:val="20"/>
        </w:rPr>
        <w:t>De werkgroep zal de volgende deliverables opleveren:</w:t>
      </w:r>
      <w:r>
        <w:rPr>
          <w:sz w:val="20"/>
          <w:szCs w:val="20"/>
        </w:rPr>
        <w:t> </w:t>
      </w:r>
    </w:p>
    <w:p w:rsidR="00FB1CFC" w:rsidRDefault="00000000">
      <w:pPr>
        <w:numPr>
          <w:ilvl w:val="0"/>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Opstellen overzicht informatienoden op basis van analyse beschikbare documentatie en bestaande standaarden. </w:t>
      </w:r>
    </w:p>
    <w:p w:rsidR="00FB1CFC" w:rsidRDefault="00000000">
      <w:pPr>
        <w:numPr>
          <w:ilvl w:val="0"/>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Organiseren van business workshop met stakeholders om de informatienoden te valideren en verder uit te breiden. </w:t>
      </w:r>
    </w:p>
    <w:p w:rsidR="00FB1CFC" w:rsidRDefault="00000000">
      <w:pPr>
        <w:numPr>
          <w:ilvl w:val="0"/>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Organiseren en faciliteren van 4 workshops met de werkgroep samengesteld uit domeinexperten + verwerking van feedback. </w:t>
      </w:r>
    </w:p>
    <w:p w:rsidR="00FB1CFC" w:rsidRDefault="00000000">
      <w:pPr>
        <w:numPr>
          <w:ilvl w:val="0"/>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Opstellen van herbruikbare documentatie voor het informatiemodel en publicatie op data.vlaanderen.be: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RDF vocabularium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HTML documentatie voor het vocabularium met termen en definities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UML diagram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HTML documentatie voor het UML diagram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SHACL validatieregels </w:t>
      </w:r>
    </w:p>
    <w:p w:rsidR="00FB1CFC" w:rsidRDefault="00000000">
      <w:pPr>
        <w:numPr>
          <w:ilvl w:val="1"/>
          <w:numId w:val="4"/>
        </w:numPr>
        <w:pBdr>
          <w:top w:val="nil"/>
          <w:left w:val="nil"/>
          <w:bottom w:val="nil"/>
          <w:right w:val="nil"/>
          <w:between w:val="nil"/>
        </w:pBdr>
        <w:spacing w:before="0" w:after="0" w:line="240" w:lineRule="auto"/>
        <w:jc w:val="both"/>
        <w:rPr>
          <w:color w:val="000000"/>
          <w:sz w:val="20"/>
          <w:szCs w:val="20"/>
        </w:rPr>
      </w:pPr>
      <w:r>
        <w:rPr>
          <w:color w:val="000000"/>
          <w:sz w:val="20"/>
          <w:szCs w:val="20"/>
        </w:rPr>
        <w:t>JSON-LD context bestand </w:t>
      </w:r>
    </w:p>
    <w:p w:rsidR="00FB1CFC" w:rsidRDefault="00000000">
      <w:pPr>
        <w:numPr>
          <w:ilvl w:val="0"/>
          <w:numId w:val="4"/>
        </w:numPr>
        <w:pBdr>
          <w:top w:val="nil"/>
          <w:left w:val="nil"/>
          <w:bottom w:val="nil"/>
          <w:right w:val="nil"/>
          <w:between w:val="nil"/>
        </w:pBdr>
        <w:spacing w:before="0" w:after="0" w:line="240" w:lineRule="auto"/>
        <w:jc w:val="both"/>
        <w:rPr>
          <w:color w:val="000000"/>
        </w:rPr>
      </w:pPr>
      <w:r>
        <w:rPr>
          <w:color w:val="000000"/>
          <w:sz w:val="20"/>
          <w:szCs w:val="20"/>
        </w:rPr>
        <w:t>Integratie in het OSLO-stelsel van vocabularia </w:t>
      </w:r>
    </w:p>
    <w:p w:rsidR="00FB1CFC" w:rsidRDefault="00000000">
      <w:pPr>
        <w:pStyle w:val="Heading1"/>
        <w:numPr>
          <w:ilvl w:val="0"/>
          <w:numId w:val="5"/>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t>Mijlpalen en timing</w:t>
      </w:r>
    </w:p>
    <w:tbl>
      <w:tblPr>
        <w:tblStyle w:val="a4"/>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00FB1CFC">
        <w:trPr>
          <w:trHeight w:val="20"/>
        </w:trPr>
        <w:tc>
          <w:tcPr>
            <w:tcW w:w="2520"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pPr>
            <w:r>
              <w:rPr>
                <w:b/>
              </w:rPr>
              <w:t>Datum</w:t>
            </w:r>
            <w:r>
              <w:t xml:space="preserve"> </w:t>
            </w:r>
          </w:p>
        </w:tc>
        <w:tc>
          <w:tcPr>
            <w:tcW w:w="6030"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pPr>
            <w:r>
              <w:rPr>
                <w:b/>
              </w:rPr>
              <w:t>Mijlpaal</w:t>
            </w:r>
            <w:r>
              <w:t xml:space="preserve">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FB1CFC">
            <w:pPr>
              <w:spacing w:before="120" w:after="120"/>
              <w:jc w:val="both"/>
              <w:rPr>
                <w:sz w:val="20"/>
                <w:szCs w:val="20"/>
              </w:rPr>
            </w:pP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Intentieverklaring opstellen en uitnodigen van geïnteresseerden voor eerste business workshop.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25/03/2021 vm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b/>
                <w:sz w:val="20"/>
                <w:szCs w:val="20"/>
              </w:rPr>
              <w:t>Business workshop</w:t>
            </w:r>
            <w:r>
              <w:rPr>
                <w:sz w:val="20"/>
                <w:szCs w:val="20"/>
              </w:rPr>
              <w:t xml:space="preserve"> met stakeholders om de informatienoden te valideren en scope verder te verfijnen.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FB1CFC">
            <w:pPr>
              <w:spacing w:before="120" w:after="120"/>
              <w:jc w:val="both"/>
              <w:rPr>
                <w:sz w:val="20"/>
                <w:szCs w:val="20"/>
              </w:rPr>
            </w:pP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Validatie werkgroep charter – Werkgroep Datastandaarden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20/04/2021 nm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b/>
                <w:sz w:val="20"/>
                <w:szCs w:val="20"/>
              </w:rPr>
            </w:pPr>
            <w:r>
              <w:rPr>
                <w:b/>
                <w:sz w:val="20"/>
                <w:szCs w:val="20"/>
              </w:rPr>
              <w:t xml:space="preserve">Workshop 1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18/05/2021 nm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b/>
                <w:sz w:val="20"/>
                <w:szCs w:val="20"/>
              </w:rPr>
            </w:pPr>
            <w:r>
              <w:rPr>
                <w:b/>
                <w:sz w:val="20"/>
                <w:szCs w:val="20"/>
              </w:rPr>
              <w:t xml:space="preserve">Workshop 2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15/06/2021 nm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b/>
                <w:sz w:val="20"/>
                <w:szCs w:val="20"/>
              </w:rPr>
            </w:pPr>
            <w:r>
              <w:rPr>
                <w:b/>
                <w:sz w:val="20"/>
                <w:szCs w:val="20"/>
              </w:rPr>
              <w:t xml:space="preserve">Workshop 3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13/07/2021 nm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b/>
                <w:sz w:val="20"/>
                <w:szCs w:val="20"/>
              </w:rPr>
            </w:pPr>
            <w:r>
              <w:rPr>
                <w:b/>
                <w:sz w:val="20"/>
                <w:szCs w:val="20"/>
              </w:rPr>
              <w:t xml:space="preserve">Workshop 4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10/08/2021 nm</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b/>
                <w:sz w:val="20"/>
                <w:szCs w:val="20"/>
              </w:rPr>
            </w:pPr>
            <w:r>
              <w:rPr>
                <w:b/>
                <w:sz w:val="20"/>
                <w:szCs w:val="20"/>
              </w:rPr>
              <w:t xml:space="preserve">Workshop 5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30/08/2021 </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Opstart publieke reviewperiode – Erkenning ‘Kandidaat-Standaard’ - Werkgroep Datastandaarden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000000">
            <w:pPr>
              <w:spacing w:before="120" w:after="120"/>
              <w:jc w:val="both"/>
              <w:rPr>
                <w:sz w:val="20"/>
                <w:szCs w:val="20"/>
              </w:rPr>
            </w:pPr>
            <w:r>
              <w:rPr>
                <w:sz w:val="20"/>
                <w:szCs w:val="20"/>
              </w:rPr>
              <w:t>Sept – 01/dec 2021</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Publieke reviewperiode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FB1CFC">
            <w:pPr>
              <w:spacing w:before="120" w:after="120"/>
              <w:jc w:val="both"/>
              <w:rPr>
                <w:sz w:val="20"/>
                <w:szCs w:val="20"/>
              </w:rPr>
            </w:pP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Einde publieke reviewperiode – Erkenning ‘Standaard’ – Werkgroep Datastandaarden </w:t>
            </w:r>
          </w:p>
        </w:tc>
      </w:tr>
      <w:tr w:rsidR="00FB1CFC">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rsidR="00FB1CFC" w:rsidRDefault="00FB1CFC">
            <w:pPr>
              <w:spacing w:before="120" w:after="120"/>
              <w:jc w:val="both"/>
              <w:rPr>
                <w:sz w:val="20"/>
                <w:szCs w:val="20"/>
              </w:rPr>
            </w:pP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rsidR="00FB1CFC" w:rsidRDefault="00000000">
            <w:pPr>
              <w:spacing w:before="120" w:after="120"/>
              <w:jc w:val="both"/>
              <w:rPr>
                <w:sz w:val="20"/>
                <w:szCs w:val="20"/>
              </w:rPr>
            </w:pPr>
            <w:r>
              <w:rPr>
                <w:sz w:val="20"/>
                <w:szCs w:val="20"/>
              </w:rPr>
              <w:t xml:space="preserve">Mededeling standaard aan Stuurorgaan Vlaams Informatie- en ICT-beleid </w:t>
            </w:r>
          </w:p>
        </w:tc>
      </w:tr>
    </w:tbl>
    <w:p w:rsidR="00FB1CFC" w:rsidRDefault="00FB1CFC"/>
    <w:p w:rsidR="00FB1CFC" w:rsidRDefault="00000000">
      <w:pPr>
        <w:pStyle w:val="Heading1"/>
        <w:numPr>
          <w:ilvl w:val="0"/>
          <w:numId w:val="5"/>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t>Afhankelijkheden</w:t>
      </w:r>
    </w:p>
    <w:p w:rsidR="00FB1CFC" w:rsidRDefault="00000000">
      <w:pPr>
        <w:rPr>
          <w:color w:val="000000"/>
          <w:sz w:val="20"/>
          <w:szCs w:val="20"/>
        </w:rPr>
      </w:pPr>
      <w:r>
        <w:rPr>
          <w:color w:val="000000"/>
          <w:sz w:val="20"/>
          <w:szCs w:val="20"/>
        </w:rPr>
        <w:t>Tijdens dit traject zal minimaal afgestemd worden met de volgende bestaande initiatieven:</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Uitwisselingsformaat Databank Ondergrond Vlaanderen (verschillende deelschema’s)</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INSPIRE</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Uitwisselingsformaat Gronden Informatie register (is afgeleid van DOV)</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Uitwisselingsformaat IMJV (data stroomt door naar DOV)</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Uitwisselingsformaat Archeologie (heeft link met DOV)</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rPr>
          <w:sz w:val="20"/>
          <w:szCs w:val="20"/>
        </w:rPr>
        <w:t>OTL AWV (heeft link met DOV)</w:t>
      </w:r>
    </w:p>
    <w:p w:rsidR="00FB1CFC" w:rsidRDefault="00000000">
      <w:pPr>
        <w:numPr>
          <w:ilvl w:val="0"/>
          <w:numId w:val="2"/>
        </w:numPr>
        <w:pBdr>
          <w:top w:val="nil"/>
          <w:left w:val="nil"/>
          <w:bottom w:val="nil"/>
          <w:right w:val="nil"/>
          <w:between w:val="nil"/>
        </w:pBdr>
        <w:spacing w:before="0" w:after="0" w:line="240" w:lineRule="auto"/>
        <w:ind w:left="714" w:hanging="357"/>
        <w:jc w:val="both"/>
        <w:rPr>
          <w:sz w:val="20"/>
          <w:szCs w:val="20"/>
        </w:rPr>
      </w:pPr>
      <w:r>
        <w:t>GloSIS: Global Soil Information System</w:t>
      </w:r>
    </w:p>
    <w:p w:rsidR="00FB1CFC" w:rsidRDefault="00FB1CFC">
      <w:pPr>
        <w:pBdr>
          <w:top w:val="nil"/>
          <w:left w:val="nil"/>
          <w:bottom w:val="nil"/>
          <w:right w:val="nil"/>
          <w:between w:val="nil"/>
        </w:pBdr>
        <w:spacing w:before="0" w:after="0" w:line="240" w:lineRule="auto"/>
        <w:ind w:left="720"/>
        <w:jc w:val="both"/>
      </w:pPr>
    </w:p>
    <w:p w:rsidR="00FB1CFC" w:rsidRDefault="00FB1CFC">
      <w:pPr>
        <w:pBdr>
          <w:top w:val="nil"/>
          <w:left w:val="nil"/>
          <w:bottom w:val="nil"/>
          <w:right w:val="nil"/>
          <w:between w:val="nil"/>
        </w:pBdr>
        <w:spacing w:before="0" w:after="0" w:line="240" w:lineRule="auto"/>
        <w:jc w:val="both"/>
      </w:pPr>
    </w:p>
    <w:sectPr w:rsidR="00FB1CFC">
      <w:headerReference w:type="even" r:id="rId11"/>
      <w:headerReference w:type="default" r:id="rId12"/>
      <w:footerReference w:type="even" r:id="rId13"/>
      <w:footerReference w:type="default" r:id="rId14"/>
      <w:headerReference w:type="first" r:id="rId15"/>
      <w:footerReference w:type="first" r:id="rId16"/>
      <w:pgSz w:w="11906" w:h="16838"/>
      <w:pgMar w:top="2211" w:right="1416" w:bottom="2552" w:left="1134"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794" w:rsidRDefault="00516794">
      <w:pPr>
        <w:spacing w:before="0" w:after="0" w:line="240" w:lineRule="auto"/>
      </w:pPr>
      <w:r>
        <w:separator/>
      </w:r>
    </w:p>
  </w:endnote>
  <w:endnote w:type="continuationSeparator" w:id="0">
    <w:p w:rsidR="00516794" w:rsidRDefault="00516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FB1CFC" w:rsidRDefault="00FB1CFC">
    <w:pPr>
      <w:pBdr>
        <w:top w:val="nil"/>
        <w:left w:val="nil"/>
        <w:bottom w:val="nil"/>
        <w:right w:val="nil"/>
        <w:between w:val="nil"/>
      </w:pBdr>
      <w:tabs>
        <w:tab w:val="right" w:pos="9923"/>
      </w:tabs>
      <w:spacing w:line="240" w:lineRule="auto"/>
      <w:rPr>
        <w:color w:val="373636"/>
        <w:sz w:val="16"/>
        <w:szCs w:val="16"/>
      </w:rPr>
    </w:pPr>
  </w:p>
  <w:p w:rsidR="00FB1CFC" w:rsidRDefault="00000000">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7F5D9F">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F5D9F">
      <w:rPr>
        <w:noProof/>
        <w:color w:val="373636"/>
        <w:sz w:val="16"/>
        <w:szCs w:val="16"/>
      </w:rPr>
      <w:t>3</w:t>
    </w:r>
    <w:r>
      <w:rPr>
        <w:color w:val="373636"/>
        <w:sz w:val="16"/>
        <w:szCs w:val="16"/>
      </w:rPr>
      <w:fldChar w:fldCharType="end"/>
    </w:r>
    <w:r>
      <w:rPr>
        <w:color w:val="373636"/>
        <w:sz w:val="16"/>
        <w:szCs w:val="16"/>
      </w:rPr>
      <w:tab/>
      <w:t xml:space="preserve">24.01.20 </w:t>
    </w:r>
    <w:r>
      <w:rPr>
        <w:b/>
        <w:color w:val="373636"/>
        <w:sz w:val="16"/>
        <w:szCs w:val="16"/>
      </w:rPr>
      <w:t xml:space="preserve">/// </w:t>
    </w:r>
    <w:r>
      <w:rPr>
        <w:color w:val="373636"/>
        <w:sz w:val="16"/>
        <w:szCs w:val="16"/>
      </w:rPr>
      <w:t>OSLO bodem en ondergrond</w:t>
    </w:r>
  </w:p>
  <w:p w:rsidR="00FB1CFC" w:rsidRDefault="00FB1CFC">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FB1CFC" w:rsidRDefault="00FB1CFC">
    <w:pPr>
      <w:pBdr>
        <w:top w:val="nil"/>
        <w:left w:val="nil"/>
        <w:bottom w:val="nil"/>
        <w:right w:val="nil"/>
        <w:between w:val="nil"/>
      </w:pBdr>
      <w:tabs>
        <w:tab w:val="right" w:pos="9923"/>
      </w:tabs>
      <w:spacing w:line="240" w:lineRule="auto"/>
      <w:rPr>
        <w:color w:val="373636"/>
        <w:sz w:val="16"/>
        <w:szCs w:val="16"/>
      </w:rPr>
    </w:pPr>
  </w:p>
  <w:p w:rsidR="00FB1CFC" w:rsidRDefault="00000000">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Pr>
        <w:color w:val="373636"/>
        <w:sz w:val="16"/>
        <w:szCs w:val="16"/>
      </w:rPr>
      <w:t xml:space="preserve">bodem en ondergrond  </w:t>
    </w:r>
    <w:r>
      <w:rPr>
        <w:b/>
        <w:color w:val="373636"/>
        <w:sz w:val="16"/>
        <w:szCs w:val="16"/>
      </w:rPr>
      <w:t>///</w:t>
    </w:r>
    <w:r>
      <w:rPr>
        <w:color w:val="373636"/>
        <w:sz w:val="16"/>
        <w:szCs w:val="16"/>
      </w:rPr>
      <w:t xml:space="preserve"> 24.01.20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7F5D9F">
      <w:rPr>
        <w:noProof/>
        <w:color w:val="373636"/>
        <w:sz w:val="16"/>
        <w:szCs w:val="16"/>
      </w:rPr>
      <w:t>3</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F5D9F">
      <w:rPr>
        <w:noProof/>
        <w:color w:val="373636"/>
        <w:sz w:val="16"/>
        <w:szCs w:val="16"/>
      </w:rPr>
      <w:t>4</w:t>
    </w:r>
    <w:r>
      <w:rPr>
        <w:color w:val="373636"/>
        <w:sz w:val="16"/>
        <w:szCs w:val="16"/>
      </w:rPr>
      <w:fldChar w:fldCharType="end"/>
    </w:r>
  </w:p>
  <w:p w:rsidR="00FB1CFC" w:rsidRDefault="00FB1CFC">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r>
    <w:r>
      <w:rPr>
        <w:color w:val="373636"/>
        <w:sz w:val="16"/>
        <w:szCs w:val="16"/>
      </w:rPr>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794" w:rsidRDefault="00516794">
      <w:pPr>
        <w:spacing w:before="0" w:after="0" w:line="240" w:lineRule="auto"/>
      </w:pPr>
      <w:r>
        <w:separator/>
      </w:r>
    </w:p>
  </w:footnote>
  <w:footnote w:type="continuationSeparator" w:id="0">
    <w:p w:rsidR="00516794" w:rsidRDefault="005167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CFC" w:rsidRDefault="00000000">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simplePos x="0" y="0"/>
          <wp:positionH relativeFrom="column">
            <wp:posOffset>4532</wp:posOffset>
          </wp:positionH>
          <wp:positionV relativeFrom="paragraph">
            <wp:posOffset>0</wp:posOffset>
          </wp:positionV>
          <wp:extent cx="3213473" cy="658399"/>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5DEE"/>
    <w:multiLevelType w:val="multilevel"/>
    <w:tmpl w:val="599078D2"/>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165148"/>
    <w:multiLevelType w:val="multilevel"/>
    <w:tmpl w:val="FB64E674"/>
    <w:lvl w:ilvl="0">
      <w:start w:val="1"/>
      <w:numFmt w:val="decimal"/>
      <w:pStyle w:val="ListNumber3"/>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67287E"/>
    <w:multiLevelType w:val="multilevel"/>
    <w:tmpl w:val="261EAA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9F12F11"/>
    <w:multiLevelType w:val="multilevel"/>
    <w:tmpl w:val="9D9E52E8"/>
    <w:lvl w:ilvl="0">
      <w:start w:val="1"/>
      <w:numFmt w:val="bullet"/>
      <w:pStyle w:val="ListNumber4"/>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9843E5C"/>
    <w:multiLevelType w:val="multilevel"/>
    <w:tmpl w:val="1AF0B756"/>
    <w:lvl w:ilvl="0">
      <w:start w:val="1"/>
      <w:numFmt w:val="decimal"/>
      <w:pStyle w:val="ListNumber5"/>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C486704"/>
    <w:multiLevelType w:val="multilevel"/>
    <w:tmpl w:val="AD5ACE6C"/>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1475338">
    <w:abstractNumId w:val="5"/>
  </w:num>
  <w:num w:numId="2" w16cid:durableId="1873574077">
    <w:abstractNumId w:val="0"/>
  </w:num>
  <w:num w:numId="3" w16cid:durableId="1924290834">
    <w:abstractNumId w:val="1"/>
  </w:num>
  <w:num w:numId="4" w16cid:durableId="697580629">
    <w:abstractNumId w:val="3"/>
  </w:num>
  <w:num w:numId="5" w16cid:durableId="110590447">
    <w:abstractNumId w:val="4"/>
  </w:num>
  <w:num w:numId="6" w16cid:durableId="2103328835">
    <w:abstractNumId w:val="2"/>
  </w:num>
  <w:num w:numId="7" w16cid:durableId="2126341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FC"/>
    <w:rsid w:val="00516794"/>
    <w:rsid w:val="007F5D9F"/>
    <w:rsid w:val="00FB1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CF8B"/>
  <w15:docId w15:val="{78B2AADB-4D91-452C-A64E-D36F293B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line="270" w:lineRule="atLeast"/>
    </w:pPr>
  </w:style>
  <w:style w:type="paragraph" w:styleId="Heading1">
    <w:name w:val="heading 1"/>
    <w:basedOn w:val="Normal"/>
    <w:next w:val="Normal"/>
    <w:link w:val="Heading1Char"/>
    <w:uiPriority w:val="9"/>
    <w:qFormat/>
    <w:rsid w:val="00A434DC"/>
    <w:pPr>
      <w:keepNext/>
      <w:keepLines/>
      <w:numPr>
        <w:numId w:val="6"/>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254B9D"/>
    <w:pPr>
      <w:keepNext/>
      <w:keepLines/>
      <w:numPr>
        <w:ilvl w:val="1"/>
        <w:numId w:val="6"/>
      </w:numPr>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semiHidden/>
    <w:unhideWhenUsed/>
    <w:qFormat/>
    <w:rsid w:val="00CE4558"/>
    <w:pPr>
      <w:keepNext/>
      <w:keepLines/>
      <w:tabs>
        <w:tab w:val="num" w:pos="720"/>
      </w:tabs>
      <w:spacing w:before="240" w:after="120" w:line="288" w:lineRule="exact"/>
      <w:ind w:left="720" w:hanging="720"/>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numPr>
        <w:ilvl w:val="3"/>
        <w:numId w:val="6"/>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numPr>
        <w:ilvl w:val="4"/>
        <w:numId w:val="6"/>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numPr>
        <w:ilvl w:val="5"/>
        <w:numId w:val="6"/>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semiHidden/>
    <w:rsid w:val="009501F5"/>
    <w:rPr>
      <w:rFonts w:eastAsiaTheme="majorEastAsia" w:cstheme="majorBidi"/>
      <w:b/>
      <w:bCs/>
      <w:color w:val="6B6B6B" w:themeColor="text2"/>
      <w:sz w:val="24"/>
      <w:szCs w:val="24"/>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2">
    <w:basedOn w:val="TableNormal"/>
    <w:pPr>
      <w:spacing w:after="0" w:line="240" w:lineRule="auto"/>
    </w:pPr>
    <w:rPr>
      <w:color w:val="BFB500"/>
    </w:rPr>
    <w:tblPr>
      <w:tblStyleRowBandSize w:val="1"/>
      <w:tblStyleColBandSize w:val="1"/>
      <w:tblCellMar>
        <w:top w:w="100" w:type="dxa"/>
        <w:left w:w="100" w:type="dxa"/>
        <w:bottom w:w="100" w:type="dxa"/>
        <w:right w:w="100" w:type="dxa"/>
      </w:tblCellMar>
    </w:tblPr>
    <w:tcPr>
      <w:shd w:val="clear" w:color="auto" w:fill="D7D6D6"/>
    </w:tcPr>
  </w:style>
  <w:style w:type="table" w:customStyle="1" w:styleId="a3">
    <w:basedOn w:val="TableNormal"/>
    <w:pPr>
      <w:spacing w:after="0" w:line="240" w:lineRule="auto"/>
    </w:pPr>
    <w:rPr>
      <w:color w:val="BFB500"/>
    </w:rPr>
    <w:tblPr>
      <w:tblStyleRowBandSize w:val="1"/>
      <w:tblStyleColBandSize w:val="1"/>
      <w:tblCellMar>
        <w:top w:w="100" w:type="dxa"/>
        <w:left w:w="100" w:type="dxa"/>
        <w:bottom w:w="100" w:type="dxa"/>
        <w:right w:w="100" w:type="dxa"/>
      </w:tblCellMar>
    </w:tblPr>
    <w:tcPr>
      <w:shd w:val="clear" w:color="auto" w:fill="D7D6D6"/>
    </w:tcPr>
  </w:style>
  <w:style w:type="table" w:customStyle="1" w:styleId="a4">
    <w:basedOn w:val="TableNormal"/>
    <w:pPr>
      <w:spacing w:after="0" w:line="240" w:lineRule="auto"/>
    </w:pPr>
    <w:rPr>
      <w:color w:val="BFB500"/>
    </w:rPr>
    <w:tblPr>
      <w:tblStyleRowBandSize w:val="1"/>
      <w:tblStyleColBandSize w:val="1"/>
      <w:tblCellMar>
        <w:top w:w="100" w:type="dxa"/>
        <w:left w:w="100" w:type="dxa"/>
        <w:bottom w:w="100" w:type="dxa"/>
        <w:right w:w="100" w:type="dxa"/>
      </w:tblCellMar>
    </w:tblPr>
    <w:tcPr>
      <w:shd w:val="clear" w:color="auto" w:fill="D7D6D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verheid.vlaanderen.be/sites/default/files/documenten/ict-egov/licenties/hergebruik/modellicentie_gratis_hergebruik_v1_0.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Informatievlaanderen/OSLO-Public-Discussion/issues" TargetMode="External"/><Relationship Id="rId4" Type="http://schemas.openxmlformats.org/officeDocument/2006/relationships/settings" Target="settings.xml"/><Relationship Id="rId9" Type="http://schemas.openxmlformats.org/officeDocument/2006/relationships/hyperlink" Target="http://data.vlaanderen.be/"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0se9v3thjlLBHlDC+gi+qrFxQA==">AMUW2mXIl6d5T5oChTz8crqgaKDgzZeNeWUVhgpU5EbkgWglaY6ZRFZMZ8e2Cd+sJ7fvLtQmzW4uFW6Bj9AcfC0MB65s1r72m1RW5ovOExkYlqr8xh6LCdVcetGO86Qb1Eg2DhVYQH2c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1184</Words>
  <Characters>6750</Characters>
  <Application>Microsoft Office Word</Application>
  <DocSecurity>0</DocSecurity>
  <Lines>56</Lines>
  <Paragraphs>15</Paragraphs>
  <ScaleCrop>false</ScaleCrop>
  <Company>PricewaterhouseCoopers</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 De Meulenaer</dc:creator>
  <cp:lastModifiedBy>De Cock Jitse</cp:lastModifiedBy>
  <cp:revision>2</cp:revision>
  <dcterms:created xsi:type="dcterms:W3CDTF">2020-06-16T09:53:00Z</dcterms:created>
  <dcterms:modified xsi:type="dcterms:W3CDTF">2024-02-23T14:01:00Z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0x010100A8EAB4A6A3BBF44D83B30770EDB2B46D</vt:lpwstr>
  </property>
</Properties>
</file>