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Pr="00C376D2" w:rsidRDefault="00652CF2">
      <w:pPr>
        <w:jc w:val="both"/>
      </w:pPr>
      <w:r w:rsidRPr="00C376D2">
        <w:rPr>
          <w:b/>
        </w:rPr>
        <w:t xml:space="preserve">Informatie Vlaanderen </w:t>
      </w:r>
    </w:p>
    <w:p w:rsidR="00291AAB" w:rsidRPr="00C376D2" w:rsidRDefault="00652CF2">
      <w:pPr>
        <w:jc w:val="both"/>
      </w:pPr>
      <w:r w:rsidRPr="00C376D2">
        <w:t>Havenlaan 88</w:t>
      </w:r>
    </w:p>
    <w:p w:rsidR="00291AAB" w:rsidRPr="00C376D2" w:rsidRDefault="00652CF2">
      <w:pPr>
        <w:jc w:val="both"/>
      </w:pPr>
      <w:r w:rsidRPr="00C376D2">
        <w:t>1000 Brussel</w:t>
      </w:r>
    </w:p>
    <w:p w:rsidR="00291AAB" w:rsidRPr="00C376D2" w:rsidRDefault="00652CF2">
      <w:pPr>
        <w:jc w:val="both"/>
      </w:pPr>
      <w:r w:rsidRPr="00C376D2">
        <w:rPr>
          <w:b/>
        </w:rPr>
        <w:t xml:space="preserve">T </w:t>
      </w:r>
      <w:r w:rsidRPr="00C376D2">
        <w:t>+32 (0)2 553 72 02</w:t>
      </w:r>
    </w:p>
    <w:p w:rsidR="00291AAB" w:rsidRPr="00C376D2" w:rsidRDefault="00291AAB">
      <w:pPr>
        <w:jc w:val="both"/>
      </w:pPr>
    </w:p>
    <w:p w:rsidR="00291AAB" w:rsidRPr="00C376D2" w:rsidRDefault="00652CF2">
      <w:pPr>
        <w:jc w:val="both"/>
      </w:pPr>
      <w:r w:rsidRPr="00C376D2">
        <w:t>Koningin Maria Hendrikaplein 70</w:t>
      </w:r>
    </w:p>
    <w:p w:rsidR="00291AAB" w:rsidRPr="00C376D2" w:rsidRDefault="00652CF2">
      <w:pPr>
        <w:jc w:val="both"/>
      </w:pPr>
      <w:r w:rsidRPr="00C376D2">
        <w:t xml:space="preserve">9000 Gent </w:t>
      </w:r>
    </w:p>
    <w:p w:rsidR="00291AAB" w:rsidRPr="00C376D2" w:rsidRDefault="00652CF2">
      <w:pPr>
        <w:jc w:val="both"/>
      </w:pPr>
      <w:r w:rsidRPr="00C376D2">
        <w:rPr>
          <w:b/>
        </w:rPr>
        <w:t>T</w:t>
      </w:r>
      <w:r w:rsidRPr="00C376D2">
        <w:t xml:space="preserve"> +32 (0)9 276 15 00</w:t>
      </w:r>
    </w:p>
    <w:p w:rsidR="00291AAB" w:rsidRPr="00C376D2" w:rsidRDefault="00652CF2">
      <w:pPr>
        <w:jc w:val="both"/>
      </w:pPr>
      <w:proofErr w:type="gramStart"/>
      <w:r w:rsidRPr="00C376D2">
        <w:t>informatie.vlaanderen@vlaanderen.be</w:t>
      </w:r>
      <w:proofErr w:type="gramEnd"/>
    </w:p>
    <w:p w:rsidR="007778D4" w:rsidRPr="00C376D2" w:rsidRDefault="007778D4" w:rsidP="007778D4">
      <w:pPr>
        <w:pStyle w:val="Subtitle"/>
        <w:jc w:val="left"/>
      </w:pPr>
      <w:r w:rsidRPr="00C376D2">
        <w:rPr>
          <w:b/>
          <w:color w:val="FFF200"/>
        </w:rPr>
        <w:t>////////////////////////////////////////////////</w:t>
      </w:r>
    </w:p>
    <w:p w:rsidR="007778D4" w:rsidRPr="00C376D2" w:rsidRDefault="007778D4" w:rsidP="007778D4">
      <w:pPr>
        <w:pStyle w:val="Subtitle"/>
        <w:jc w:val="left"/>
        <w:rPr>
          <w:b/>
          <w:color w:val="FFF200"/>
        </w:rPr>
      </w:pPr>
      <w:r w:rsidRPr="00C376D2">
        <w:t>OSLO - Mijn Burgerprofiel – Terugmelding</w:t>
      </w:r>
      <w:r w:rsidR="000B2E57">
        <w:t xml:space="preserve"> – 3</w:t>
      </w:r>
      <w:r w:rsidRPr="00C376D2">
        <w:t>e Publieke Werkgroep</w:t>
      </w:r>
      <w:r w:rsidRPr="00C376D2">
        <w:rPr>
          <w:b/>
          <w:color w:val="FFF200"/>
        </w:rPr>
        <w:t xml:space="preserve"> </w:t>
      </w:r>
    </w:p>
    <w:p w:rsidR="007778D4" w:rsidRPr="00C376D2" w:rsidRDefault="007778D4" w:rsidP="007778D4">
      <w:pPr>
        <w:pStyle w:val="Subtitle"/>
        <w:jc w:val="left"/>
      </w:pPr>
      <w:r w:rsidRPr="00C376D2">
        <w:rPr>
          <w:b/>
          <w:color w:val="FFF200"/>
        </w:rPr>
        <w:t>////////////////////////////////////////////////</w:t>
      </w:r>
    </w:p>
    <w:p w:rsidR="007778D4" w:rsidRPr="00C376D2" w:rsidRDefault="007778D4">
      <w:pPr>
        <w:jc w:val="both"/>
        <w:rPr>
          <w:b/>
          <w:color w:val="FFF200"/>
        </w:rPr>
      </w:pPr>
    </w:p>
    <w:p w:rsidR="00291AAB" w:rsidRPr="00C376D2" w:rsidRDefault="00652CF2">
      <w:pPr>
        <w:jc w:val="both"/>
      </w:pPr>
      <w:r w:rsidRPr="00C376D2">
        <w:rPr>
          <w:b/>
          <w:color w:val="FFF200"/>
        </w:rPr>
        <w:t>////////////////////////////////////////////////////////////////////////////////////////////////////////</w:t>
      </w:r>
    </w:p>
    <w:p w:rsidR="00291AAB" w:rsidRPr="00C376D2" w:rsidRDefault="002B4C7B">
      <w:pPr>
        <w:jc w:val="both"/>
      </w:pPr>
      <w:r w:rsidRPr="00C376D2">
        <w:t xml:space="preserve">Datum: </w:t>
      </w:r>
      <w:r w:rsidR="00C376D2" w:rsidRPr="00C376D2">
        <w:t>2</w:t>
      </w:r>
      <w:r w:rsidR="007F73A3">
        <w:t>7/06</w:t>
      </w:r>
      <w:r w:rsidR="00B06BF9" w:rsidRPr="00C376D2">
        <w:t>/2018</w:t>
      </w:r>
    </w:p>
    <w:p w:rsidR="00291AAB" w:rsidRDefault="00652CF2">
      <w:pPr>
        <w:jc w:val="both"/>
      </w:pPr>
      <w:r w:rsidRPr="00C376D2">
        <w:t xml:space="preserve">Locatie: </w:t>
      </w:r>
      <w:r w:rsidR="007778D4" w:rsidRPr="00C376D2">
        <w:t>Herman Teirlinck</w:t>
      </w:r>
    </w:p>
    <w:p w:rsidR="00F878D3" w:rsidRPr="00C376D2" w:rsidRDefault="00F878D3">
      <w:pPr>
        <w:jc w:val="both"/>
      </w:pPr>
      <w:r>
        <w:t xml:space="preserve">Aanwezigen: </w:t>
      </w:r>
      <w:r>
        <w:t xml:space="preserve">Joost De </w:t>
      </w:r>
      <w:proofErr w:type="spellStart"/>
      <w:r>
        <w:t>Weghe</w:t>
      </w:r>
      <w:proofErr w:type="spellEnd"/>
      <w:r>
        <w:t xml:space="preserve"> (Burgerprofiel, Informatie Vlaanderen), Barbara van Gogh (BOSA), Steven Tielemans (BOSA), Liesbeth Rombouts (Informatie Vlaanderen), Jasmin De </w:t>
      </w:r>
      <w:proofErr w:type="spellStart"/>
      <w:r>
        <w:t>Rijcker</w:t>
      </w:r>
      <w:proofErr w:type="spellEnd"/>
      <w:r>
        <w:t xml:space="preserve"> (Stad Antwerpen), Ward Everaert (Informatie Vlaanderen), Sharon Eedens (Informatie Vlaanderen), Jens Scheerlinck (Informatie Vlaanderen), Sarah </w:t>
      </w:r>
      <w:proofErr w:type="spellStart"/>
      <w:r>
        <w:t>Carron</w:t>
      </w:r>
      <w:proofErr w:type="spellEnd"/>
      <w:r>
        <w:t xml:space="preserve"> (Informatie Vlaanderen), Michiel De Keyzer (Informatie Vlaanderen)</w:t>
      </w:r>
      <w:bookmarkStart w:id="0" w:name="_GoBack"/>
      <w:bookmarkEnd w:id="0"/>
    </w:p>
    <w:p w:rsidR="00920C6F" w:rsidRPr="00C376D2" w:rsidRDefault="00652CF2">
      <w:pPr>
        <w:jc w:val="both"/>
        <w:rPr>
          <w:color w:val="auto"/>
        </w:rPr>
      </w:pPr>
      <w:r w:rsidRPr="00C376D2">
        <w:rPr>
          <w:color w:val="auto"/>
        </w:rPr>
        <w:t xml:space="preserve">Verslaggever: </w:t>
      </w:r>
      <w:r w:rsidR="002B4C7B" w:rsidRPr="00C376D2">
        <w:rPr>
          <w:color w:val="auto"/>
        </w:rPr>
        <w:t xml:space="preserve">Sarah </w:t>
      </w:r>
      <w:proofErr w:type="spellStart"/>
      <w:r w:rsidR="002B4C7B" w:rsidRPr="00C376D2">
        <w:rPr>
          <w:color w:val="auto"/>
        </w:rPr>
        <w:t>Carron</w:t>
      </w:r>
      <w:proofErr w:type="spellEnd"/>
      <w:r w:rsidR="002B4C7B" w:rsidRPr="00C376D2">
        <w:rPr>
          <w:color w:val="auto"/>
        </w:rPr>
        <w:t xml:space="preserve"> </w:t>
      </w:r>
    </w:p>
    <w:p w:rsidR="00291AAB" w:rsidRPr="00C376D2" w:rsidRDefault="00652CF2">
      <w:pPr>
        <w:jc w:val="both"/>
      </w:pPr>
      <w:r w:rsidRPr="00C376D2">
        <w:rPr>
          <w:b/>
          <w:color w:val="FFF200"/>
        </w:rPr>
        <w:t>////////////////////////////////////////////////////////////////////////////////////////////////////////</w:t>
      </w:r>
    </w:p>
    <w:p w:rsidR="00291AAB" w:rsidRPr="00C376D2" w:rsidRDefault="00291AAB">
      <w:pPr>
        <w:jc w:val="both"/>
        <w:sectPr w:rsidR="00291AAB" w:rsidRPr="00C376D2">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rsidR="00443BA8" w:rsidRPr="00C376D2" w:rsidRDefault="00443BA8" w:rsidP="006145AC">
      <w:pPr>
        <w:pStyle w:val="Heading1"/>
        <w:numPr>
          <w:ilvl w:val="0"/>
          <w:numId w:val="1"/>
        </w:numPr>
        <w:spacing w:after="0"/>
        <w:ind w:hanging="432"/>
        <w:jc w:val="both"/>
      </w:pPr>
      <w:bookmarkStart w:id="1" w:name="_vehxggf8dom6" w:colFirst="0" w:colLast="0"/>
      <w:bookmarkEnd w:id="1"/>
      <w:r w:rsidRPr="00C376D2">
        <w:t>Context</w:t>
      </w:r>
    </w:p>
    <w:p w:rsidR="00443BA8" w:rsidRPr="00C376D2" w:rsidRDefault="00443BA8" w:rsidP="00443BA8">
      <w:pPr>
        <w:pStyle w:val="NormalWeb"/>
        <w:shd w:val="clear" w:color="auto" w:fill="FFFFFF"/>
        <w:spacing w:before="0" w:after="0"/>
        <w:jc w:val="both"/>
        <w:textAlignment w:val="baseline"/>
        <w:rPr>
          <w:rFonts w:asciiTheme="majorHAnsi" w:hAnsiTheme="majorHAnsi" w:cs="Arial"/>
          <w:color w:val="333333"/>
          <w:sz w:val="22"/>
          <w:szCs w:val="22"/>
        </w:rPr>
      </w:pPr>
      <w:r w:rsidRPr="00C376D2">
        <w:rPr>
          <w:rFonts w:asciiTheme="majorHAnsi" w:hAnsiTheme="majorHAnsi" w:cs="Arial"/>
          <w:color w:val="333333"/>
          <w:sz w:val="22"/>
          <w:szCs w:val="22"/>
        </w:rPr>
        <w:t>Het project ‘mijn burgerprofiel’ (voorheen</w:t>
      </w:r>
      <w:hyperlink r:id="rId14" w:history="1">
        <w:r w:rsidRPr="00C376D2">
          <w:rPr>
            <w:rStyle w:val="Hyperlink"/>
            <w:rFonts w:asciiTheme="majorHAnsi" w:hAnsiTheme="majorHAnsi" w:cs="Arial"/>
            <w:color w:val="0066CC"/>
            <w:sz w:val="22"/>
            <w:szCs w:val="22"/>
            <w:bdr w:val="none" w:sz="0" w:space="0" w:color="auto" w:frame="1"/>
          </w:rPr>
          <w:t> burgerloket</w:t>
        </w:r>
      </w:hyperlink>
      <w:r w:rsidRPr="00C376D2">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443BA8" w:rsidRPr="00C376D2" w:rsidRDefault="004C1014"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sidRPr="00C376D2">
        <w:rPr>
          <w:noProof/>
          <w:lang w:val="en-US" w:eastAsia="en-US"/>
        </w:rPr>
        <w:lastRenderedPageBreak/>
        <w:drawing>
          <wp:inline distT="0" distB="0" distL="0" distR="0" wp14:anchorId="3DB0C1FB" wp14:editId="706C02B8">
            <wp:extent cx="6299835" cy="33451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345180"/>
                    </a:xfrm>
                    <a:prstGeom prst="rect">
                      <a:avLst/>
                    </a:prstGeom>
                  </pic:spPr>
                </pic:pic>
              </a:graphicData>
            </a:graphic>
          </wp:inline>
        </w:drawing>
      </w:r>
    </w:p>
    <w:p w:rsidR="00443BA8" w:rsidRPr="00C376D2" w:rsidRDefault="00443BA8"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443BA8" w:rsidRPr="00C376D2" w:rsidRDefault="00443BA8" w:rsidP="00443BA8">
      <w:pPr>
        <w:jc w:val="both"/>
      </w:pPr>
      <w:r w:rsidRPr="00C376D2">
        <w:t>Deze modellen werden uitgewerkt in context van mijn burgerprofiel en worden nu in deze publieke werkgroepen verder opengetrokken naar een bredere context om zo de gedragenheid te verhogen en deze als standaard te kunnen publiceren.</w:t>
      </w:r>
    </w:p>
    <w:p w:rsidR="00443BA8" w:rsidRPr="00C376D2" w:rsidRDefault="00443BA8" w:rsidP="006145AC">
      <w:pPr>
        <w:pStyle w:val="Heading1"/>
        <w:numPr>
          <w:ilvl w:val="0"/>
          <w:numId w:val="1"/>
        </w:numPr>
        <w:spacing w:after="0"/>
        <w:ind w:hanging="432"/>
        <w:jc w:val="both"/>
      </w:pPr>
      <w:r w:rsidRPr="00C376D2">
        <w:t>Agenda</w:t>
      </w:r>
    </w:p>
    <w:p w:rsidR="00C376D2" w:rsidRDefault="000B2E57" w:rsidP="006145AC">
      <w:pPr>
        <w:pStyle w:val="ListParagraph"/>
        <w:numPr>
          <w:ilvl w:val="0"/>
          <w:numId w:val="2"/>
        </w:numPr>
        <w:jc w:val="both"/>
      </w:pPr>
      <w:r>
        <w:t xml:space="preserve">Toelichting van nieuwe iteratie van het model op basis van enkele concrete </w:t>
      </w:r>
      <w:proofErr w:type="spellStart"/>
      <w:r>
        <w:t>use</w:t>
      </w:r>
      <w:proofErr w:type="spellEnd"/>
      <w:r>
        <w:t xml:space="preserve"> cases. </w:t>
      </w:r>
    </w:p>
    <w:p w:rsidR="000B2E57" w:rsidRPr="00C376D2" w:rsidRDefault="000B2E57" w:rsidP="006145AC">
      <w:pPr>
        <w:pStyle w:val="ListParagraph"/>
        <w:numPr>
          <w:ilvl w:val="0"/>
          <w:numId w:val="2"/>
        </w:numPr>
        <w:jc w:val="both"/>
      </w:pPr>
      <w:r>
        <w:t>Capteren van extra feedback</w:t>
      </w:r>
    </w:p>
    <w:p w:rsidR="00C376D2" w:rsidRPr="00C376D2" w:rsidRDefault="00443BA8" w:rsidP="006145AC">
      <w:pPr>
        <w:pStyle w:val="Heading1"/>
        <w:numPr>
          <w:ilvl w:val="0"/>
          <w:numId w:val="1"/>
        </w:numPr>
        <w:spacing w:after="0"/>
        <w:ind w:hanging="432"/>
        <w:jc w:val="both"/>
      </w:pPr>
      <w:r w:rsidRPr="00C376D2">
        <w:t>Verloop</w:t>
      </w:r>
    </w:p>
    <w:p w:rsidR="000B2E57" w:rsidRDefault="000B2E57" w:rsidP="000B2E57">
      <w:pPr>
        <w:rPr>
          <w:bCs/>
          <w:iCs/>
        </w:rPr>
      </w:pPr>
      <w:r>
        <w:rPr>
          <w:bCs/>
          <w:iCs/>
        </w:rPr>
        <w:t>De voorgestelde specificatie is het resultaat van de verwerking van de feedback uit d</w:t>
      </w:r>
      <w:r w:rsidR="00D02877">
        <w:rPr>
          <w:bCs/>
          <w:iCs/>
        </w:rPr>
        <w:t xml:space="preserve">e eerste twee </w:t>
      </w:r>
      <w:proofErr w:type="spellStart"/>
      <w:r w:rsidR="00D02877">
        <w:rPr>
          <w:bCs/>
          <w:iCs/>
        </w:rPr>
        <w:t>werkgroepsessies</w:t>
      </w:r>
      <w:proofErr w:type="spellEnd"/>
      <w:r w:rsidR="00D02877">
        <w:rPr>
          <w:bCs/>
          <w:iCs/>
        </w:rPr>
        <w:t xml:space="preserve"> en bestaat ui drie onderdelen:</w:t>
      </w:r>
    </w:p>
    <w:p w:rsidR="00D02877" w:rsidRDefault="00D02877" w:rsidP="00D02877">
      <w:pPr>
        <w:pStyle w:val="ListParagraph"/>
        <w:numPr>
          <w:ilvl w:val="0"/>
          <w:numId w:val="15"/>
        </w:numPr>
      </w:pPr>
      <w:r>
        <w:t xml:space="preserve">Een vocabularium met een opsomming van relevante termen binnen dit domein, hun definitie en referenties naar andere standaarden die werden hergebruikt: </w:t>
      </w:r>
      <w:hyperlink r:id="rId16" w:history="1">
        <w:r w:rsidRPr="00A27E96">
          <w:rPr>
            <w:rStyle w:val="Hyperlink"/>
          </w:rPr>
          <w:t>https://data.vlaanderen.be/ns/melding</w:t>
        </w:r>
      </w:hyperlink>
      <w:r>
        <w:t xml:space="preserve"> </w:t>
      </w:r>
    </w:p>
    <w:p w:rsidR="00D02877" w:rsidRDefault="00D02877" w:rsidP="00D02877">
      <w:pPr>
        <w:pStyle w:val="ListParagraph"/>
        <w:numPr>
          <w:ilvl w:val="0"/>
          <w:numId w:val="15"/>
        </w:numPr>
      </w:pPr>
      <w:r>
        <w:t xml:space="preserve">Een applicatieprofiel voor </w:t>
      </w:r>
      <w:proofErr w:type="spellStart"/>
      <w:r>
        <w:t>use</w:t>
      </w:r>
      <w:proofErr w:type="spellEnd"/>
      <w:r>
        <w:t xml:space="preserve"> cases m.b.t. </w:t>
      </w:r>
      <w:r w:rsidRPr="00D02877">
        <w:t xml:space="preserve">het structureren en </w:t>
      </w:r>
      <w:r>
        <w:t>uitwisselen</w:t>
      </w:r>
      <w:r w:rsidRPr="00D02877">
        <w:t xml:space="preserve"> van meldingen met betrekking tot een bepaald probleem of een vaststelling die mogelijks aanleiding geeft tot een actie </w:t>
      </w:r>
      <w:r>
        <w:lastRenderedPageBreak/>
        <w:t xml:space="preserve">van de overheid. Het applicatieprofiel </w:t>
      </w:r>
      <w:r w:rsidRPr="00D02877">
        <w:t>kan gebruikt worden voor vaststellingen in de echte wereld, bijvoorbeeld het melden van een put in de weg of sluikstort</w:t>
      </w:r>
      <w:r>
        <w:t xml:space="preserve">: </w:t>
      </w:r>
      <w:hyperlink r:id="rId17" w:history="1">
        <w:r w:rsidRPr="00A27E96">
          <w:rPr>
            <w:rStyle w:val="Hyperlink"/>
          </w:rPr>
          <w:t>https://data.vlaanderen.be/doc/applicatieprofiel/melding</w:t>
        </w:r>
      </w:hyperlink>
      <w:r>
        <w:t xml:space="preserve"> </w:t>
      </w:r>
    </w:p>
    <w:p w:rsidR="00D02877" w:rsidRPr="000B2E57" w:rsidRDefault="00D02877" w:rsidP="00D02877">
      <w:pPr>
        <w:pStyle w:val="ListParagraph"/>
        <w:numPr>
          <w:ilvl w:val="0"/>
          <w:numId w:val="15"/>
        </w:numPr>
      </w:pPr>
      <w:r>
        <w:t xml:space="preserve">Een applicatieprofiel specifiek voor </w:t>
      </w:r>
      <w:proofErr w:type="spellStart"/>
      <w:r>
        <w:t>use</w:t>
      </w:r>
      <w:proofErr w:type="spellEnd"/>
      <w:r>
        <w:t xml:space="preserve"> cases rond ‘terugmeldingen’, waarbij </w:t>
      </w:r>
      <w:r w:rsidRPr="00D02877">
        <w:t>gebruikers van digitaal verstrekte informatie fouten en onvolledigheden in deze informatie</w:t>
      </w:r>
      <w:r>
        <w:t xml:space="preserve"> kunnen </w:t>
      </w:r>
      <w:proofErr w:type="spellStart"/>
      <w:r>
        <w:t>terugmelden</w:t>
      </w:r>
      <w:proofErr w:type="spellEnd"/>
      <w:r w:rsidRPr="00D02877">
        <w:t xml:space="preserve"> aan de </w:t>
      </w:r>
      <w:r>
        <w:t xml:space="preserve">verantwoordelijke bronbeheerder: </w:t>
      </w:r>
      <w:hyperlink r:id="rId18" w:history="1">
        <w:r w:rsidRPr="00A27E96">
          <w:rPr>
            <w:rStyle w:val="Hyperlink"/>
          </w:rPr>
          <w:t>https://data.vlaanderen.be/doc/applicatieprofiel/gtmf</w:t>
        </w:r>
      </w:hyperlink>
      <w:r>
        <w:t xml:space="preserve"> </w:t>
      </w:r>
    </w:p>
    <w:p w:rsidR="00D02877" w:rsidRDefault="00D02877" w:rsidP="00D02877">
      <w:pPr>
        <w:pStyle w:val="Heading2"/>
      </w:pPr>
      <w:r>
        <w:t>Discussie met betrekking tot het applicatieprofiel voor generieke meldingen</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rsidRPr="00D02877">
        <w:t xml:space="preserve">De huidige naam gekozen voor het applicatieprofiel is "Issue tracking voor burgers", gelinkt aan het initiatief Open311 met een gelijkaardige scope die als titel “A </w:t>
      </w:r>
      <w:proofErr w:type="spellStart"/>
      <w:r w:rsidRPr="00D02877">
        <w:t>collaborative</w:t>
      </w:r>
      <w:proofErr w:type="spellEnd"/>
      <w:r w:rsidRPr="00D02877">
        <w:t xml:space="preserve"> model </w:t>
      </w:r>
      <w:proofErr w:type="spellStart"/>
      <w:r w:rsidRPr="00D02877">
        <w:t>and</w:t>
      </w:r>
      <w:proofErr w:type="spellEnd"/>
      <w:r w:rsidRPr="00D02877">
        <w:t xml:space="preserve"> open standard </w:t>
      </w:r>
      <w:proofErr w:type="spellStart"/>
      <w:r w:rsidRPr="00D02877">
        <w:t>for</w:t>
      </w:r>
      <w:proofErr w:type="spellEnd"/>
      <w:r w:rsidRPr="00D02877">
        <w:t xml:space="preserve"> </w:t>
      </w:r>
      <w:proofErr w:type="spellStart"/>
      <w:r w:rsidRPr="00D02877">
        <w:t>civic</w:t>
      </w:r>
      <w:proofErr w:type="spellEnd"/>
      <w:r w:rsidRPr="00D02877">
        <w:t xml:space="preserve"> issue tracking” draagt.</w:t>
      </w:r>
      <w:r>
        <w:t xml:space="preserve"> </w:t>
      </w:r>
    </w:p>
    <w:p w:rsidR="00470D1E" w:rsidRDefault="00470D1E" w:rsidP="00470D1E">
      <w:pPr>
        <w:pStyle w:val="ListParagraph"/>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We mogen in de titel niet beperken tot enkel “burgers”. In de vertaling van “</w:t>
      </w:r>
      <w:proofErr w:type="spellStart"/>
      <w:r>
        <w:t>civic</w:t>
      </w:r>
      <w:proofErr w:type="spellEnd"/>
      <w:r>
        <w:t>” moet duidelijk worden dat het ook ondernemers/organisaties kan omvatten.</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Rond meldingstypes wordt een toepassing vrijgelaten om hier zelf een codelijst voor te bepalen.</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Voor de mogelijke statussen die een melding kan doorlopen wordt een codelijst gedefinieerd in de specificatie als sterke richtlijn, op basis van de statussen die momenteel in de Generieke </w:t>
      </w:r>
      <w:proofErr w:type="spellStart"/>
      <w:r>
        <w:t>Terugmeldfaciliteit</w:t>
      </w:r>
      <w:proofErr w:type="spellEnd"/>
      <w:r>
        <w:t xml:space="preserve"> werden geïmplementeerd</w:t>
      </w:r>
      <w:r w:rsidR="00B33A30">
        <w:t xml:space="preserve"> (zie bijlage)</w:t>
      </w:r>
      <w:r>
        <w:t xml:space="preserve">. </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Nood aan een gestructureerde </w:t>
      </w:r>
      <w:proofErr w:type="spellStart"/>
      <w:r>
        <w:t>identificator</w:t>
      </w:r>
      <w:proofErr w:type="spellEnd"/>
      <w:r>
        <w:t xml:space="preserve"> voor g</w:t>
      </w:r>
      <w:r w:rsidRPr="00D02877">
        <w:t>eregistreerd</w:t>
      </w:r>
      <w:r>
        <w:t>e</w:t>
      </w:r>
      <w:r w:rsidRPr="00D02877">
        <w:t xml:space="preserve"> </w:t>
      </w:r>
      <w:r>
        <w:t>personen.</w:t>
      </w:r>
    </w:p>
    <w:p w:rsidR="00470D1E" w:rsidRDefault="00470D1E" w:rsidP="00470D1E">
      <w:pPr>
        <w:pStyle w:val="ListParagraph"/>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Het gestructureerd datatype voor een </w:t>
      </w:r>
      <w:proofErr w:type="spellStart"/>
      <w:r>
        <w:t>identificator</w:t>
      </w:r>
      <w:proofErr w:type="spellEnd"/>
      <w:r>
        <w:t xml:space="preserve"> dient overgenomen te worden het </w:t>
      </w:r>
      <w:proofErr w:type="spellStart"/>
      <w:r>
        <w:t>het</w:t>
      </w:r>
      <w:proofErr w:type="spellEnd"/>
      <w:r>
        <w:t xml:space="preserve"> OSLO Generiek vocabularium. </w:t>
      </w:r>
    </w:p>
    <w:p w:rsidR="00470D1E" w:rsidRDefault="00470D1E" w:rsidP="00470D1E">
      <w:pPr>
        <w:pStyle w:val="ListParagraph"/>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Hiermee kan voor een </w:t>
      </w:r>
      <w:proofErr w:type="spellStart"/>
      <w:r>
        <w:t>identificator</w:t>
      </w:r>
      <w:proofErr w:type="spellEnd"/>
      <w:r>
        <w:t xml:space="preserve"> zowel de bron als de </w:t>
      </w:r>
      <w:proofErr w:type="spellStart"/>
      <w:r>
        <w:t>identificator</w:t>
      </w:r>
      <w:proofErr w:type="spellEnd"/>
      <w:r>
        <w:t xml:space="preserve"> zelf worden meegegeven.</w:t>
      </w:r>
    </w:p>
    <w:p w:rsidR="00470D1E" w:rsidRPr="00D02877"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rsidRPr="00D02877">
        <w:t xml:space="preserve">Indien een melding niet </w:t>
      </w:r>
      <w:r w:rsidRPr="00D02877">
        <w:t>behandel</w:t>
      </w:r>
      <w:r>
        <w:t>d</w:t>
      </w:r>
      <w:r w:rsidRPr="00D02877">
        <w:t xml:space="preserve"> kan worden</w:t>
      </w:r>
      <w:r>
        <w:t>, bijvoorbeeld do</w:t>
      </w:r>
      <w:r w:rsidRPr="00D02877">
        <w:t xml:space="preserve">or </w:t>
      </w:r>
      <w:r>
        <w:t xml:space="preserve">een gebrek aan informatie, </w:t>
      </w:r>
      <w:r w:rsidRPr="00D02877">
        <w:t xml:space="preserve">is het afsluiten dan ook behandelen? Of moeten we </w:t>
      </w:r>
      <w:r>
        <w:t xml:space="preserve">de </w:t>
      </w:r>
      <w:proofErr w:type="spellStart"/>
      <w:r>
        <w:t>kardinaliteit</w:t>
      </w:r>
      <w:proofErr w:type="spellEnd"/>
      <w:r>
        <w:t xml:space="preserve"> van de relatie “behandelaar”</w:t>
      </w:r>
      <w:r w:rsidRPr="00D02877">
        <w:t xml:space="preserve"> aanpassen</w:t>
      </w:r>
      <w:r>
        <w:t xml:space="preserve"> zodat deze optioneel wordt?</w:t>
      </w:r>
    </w:p>
    <w:p w:rsidR="00470D1E" w:rsidRDefault="00470D1E" w:rsidP="00012EE4">
      <w:pPr>
        <w:widowControl/>
        <w:numPr>
          <w:ilvl w:val="0"/>
          <w:numId w:val="20"/>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765"/>
        <w:textAlignment w:val="center"/>
      </w:pPr>
      <w:r>
        <w:t xml:space="preserve">Een </w:t>
      </w:r>
      <w:r w:rsidRPr="00D02877">
        <w:t>Software Agent</w:t>
      </w:r>
      <w:r>
        <w:t xml:space="preserve"> (Applicatie in het model)</w:t>
      </w:r>
      <w:r w:rsidRPr="00D02877">
        <w:t xml:space="preserve"> zou ook</w:t>
      </w:r>
      <w:r>
        <w:t xml:space="preserve"> behandelaar moeten kunnen zijn.</w:t>
      </w:r>
    </w:p>
    <w:p w:rsidR="00470D1E" w:rsidRDefault="00470D1E" w:rsidP="00470D1E">
      <w:pPr>
        <w:widowControl/>
        <w:numPr>
          <w:ilvl w:val="0"/>
          <w:numId w:val="20"/>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765"/>
        <w:textAlignment w:val="center"/>
      </w:pPr>
      <w:r>
        <w:t>De definitie van ‘behandelaar’ moet iets anders geformuleerd worden om hieraan tegemoet te komen.</w:t>
      </w:r>
    </w:p>
    <w:p w:rsidR="00470D1E" w:rsidRDefault="00470D1E" w:rsidP="00470D1E">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pPr>
    </w:p>
    <w:p w:rsidR="00470D1E" w:rsidRDefault="00470D1E" w:rsidP="00470D1E">
      <w:pPr>
        <w:pStyle w:val="Heading2"/>
      </w:pPr>
      <w:r w:rsidRPr="00D02877">
        <w:t xml:space="preserve"> </w:t>
      </w:r>
      <w:r>
        <w:t xml:space="preserve">Discussie met betrekking tot het applicatieprofiel voor </w:t>
      </w:r>
      <w:r>
        <w:t>terug</w:t>
      </w:r>
      <w:r>
        <w:t>meldingen</w:t>
      </w:r>
    </w:p>
    <w:p w:rsidR="00470D1E" w:rsidRPr="00470D1E" w:rsidRDefault="00470D1E" w:rsidP="00470D1E">
      <w:pPr>
        <w:widowControl/>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Pr>
          <w:rFonts w:eastAsia="Times New Roman"/>
          <w:color w:val="222222"/>
          <w:lang w:eastAsia="en-US"/>
        </w:rPr>
        <w:t>In het diagram voor het applicatieprofiel is het tonen van zowel melding en terugmelding (als subklasse van melding) verwarrend. Dit zou aangepast kunnen worden zodat enkel terugmelding getoond wordt en alle informatie overerft van een melding.</w:t>
      </w:r>
    </w:p>
    <w:p w:rsidR="00470D1E" w:rsidRPr="00B33A30" w:rsidRDefault="00470D1E" w:rsidP="00470D1E">
      <w:pPr>
        <w:widowControl/>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Pr>
          <w:rFonts w:eastAsia="Times New Roman"/>
          <w:color w:val="222222"/>
          <w:lang w:eastAsia="en-US"/>
        </w:rPr>
        <w:t>Na te gaan of modelmatig ook de relaties van een organisatie naar een organisatie-eenheid correct worden overgeërfd door een publieke organisatie.</w:t>
      </w:r>
    </w:p>
    <w:p w:rsidR="00B33A30" w:rsidRPr="00B33A30" w:rsidRDefault="00B33A30" w:rsidP="00470D1E">
      <w:pPr>
        <w:widowControl/>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Pr>
          <w:rFonts w:eastAsia="Times New Roman"/>
          <w:color w:val="222222"/>
          <w:lang w:eastAsia="en-US"/>
        </w:rPr>
        <w:t>Voor de status op een meldingsobject kan opnieuw de bestaande codelijst voor statuswaarden op niveau van meldingsobject worden opgenomen in de specificatie als sterke richtlijn.</w:t>
      </w:r>
    </w:p>
    <w:p w:rsidR="00B33A30" w:rsidRPr="00B33A30" w:rsidRDefault="00B33A30" w:rsidP="00B33A30">
      <w:pPr>
        <w:widowControl/>
        <w:numPr>
          <w:ilvl w:val="1"/>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lastRenderedPageBreak/>
        <w:t>Dit vergt wel een beperking binnen dit applicatieprofiel op de mogelijke status waarden op het niveau van de ‘terugmelding’ in zijn totaliteit (bv. 1 terugmelding met meerdere meldingsobjecten).</w:t>
      </w:r>
    </w:p>
    <w:p w:rsidR="00B33A30" w:rsidRPr="00470D1E" w:rsidRDefault="00B33A30" w:rsidP="00B33A30">
      <w:pPr>
        <w:widowControl/>
        <w:numPr>
          <w:ilvl w:val="1"/>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t xml:space="preserve">Op niveau van de terugmelding zullen enkel de generieke status waarden (zonder </w:t>
      </w:r>
      <w:proofErr w:type="gramStart"/>
      <w:r>
        <w:rPr>
          <w:rFonts w:eastAsia="Times New Roman"/>
          <w:color w:val="222222"/>
          <w:lang w:eastAsia="en-US"/>
        </w:rPr>
        <w:t>waarde oordeel</w:t>
      </w:r>
      <w:proofErr w:type="gramEnd"/>
      <w:r>
        <w:rPr>
          <w:rFonts w:eastAsia="Times New Roman"/>
          <w:color w:val="222222"/>
          <w:lang w:eastAsia="en-US"/>
        </w:rPr>
        <w:t xml:space="preserve">) opgenomen worden: ingediend, toegewezen aan behandelaar, afgerond, </w:t>
      </w:r>
      <w:proofErr w:type="spellStart"/>
      <w:r>
        <w:rPr>
          <w:rFonts w:eastAsia="Times New Roman"/>
          <w:color w:val="222222"/>
          <w:lang w:eastAsia="en-US"/>
        </w:rPr>
        <w:t>heringediend</w:t>
      </w:r>
      <w:proofErr w:type="spellEnd"/>
      <w:r>
        <w:rPr>
          <w:rFonts w:eastAsia="Times New Roman"/>
          <w:color w:val="222222"/>
          <w:lang w:eastAsia="en-US"/>
        </w:rPr>
        <w:t xml:space="preserve"> en definitief gesloten (zie ook bijlage).</w:t>
      </w:r>
    </w:p>
    <w:p w:rsidR="00B33A30" w:rsidRPr="00B33A30" w:rsidRDefault="00470D1E" w:rsidP="00470D1E">
      <w:pPr>
        <w:widowControl/>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sidRPr="00470D1E">
        <w:rPr>
          <w:rFonts w:eastAsia="Times New Roman"/>
          <w:color w:val="222222"/>
          <w:lang w:eastAsia="en-US"/>
        </w:rPr>
        <w:t>Melder</w:t>
      </w:r>
      <w:r w:rsidR="00B33A30">
        <w:rPr>
          <w:rFonts w:eastAsia="Times New Roman"/>
          <w:color w:val="222222"/>
          <w:lang w:eastAsia="en-US"/>
        </w:rPr>
        <w:t xml:space="preserve"> als nieuwe relatie in het model, naast betrokkene en indiener. W</w:t>
      </w:r>
      <w:r w:rsidRPr="00470D1E">
        <w:rPr>
          <w:rFonts w:eastAsia="Times New Roman"/>
          <w:color w:val="222222"/>
          <w:lang w:eastAsia="en-US"/>
        </w:rPr>
        <w:t xml:space="preserve">ant er kan nog een andere betrokkene zijn naast de melder </w:t>
      </w:r>
      <w:r w:rsidR="00B33A30">
        <w:rPr>
          <w:rFonts w:eastAsia="Times New Roman"/>
          <w:color w:val="222222"/>
          <w:lang w:eastAsia="en-US"/>
        </w:rPr>
        <w:t>die niet in het systeem steekt</w:t>
      </w:r>
    </w:p>
    <w:p w:rsidR="00B33A30" w:rsidRDefault="00B33A30" w:rsidP="00B33A30">
      <w:pPr>
        <w:widowControl/>
        <w:numPr>
          <w:ilvl w:val="1"/>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t>M</w:t>
      </w:r>
      <w:r w:rsidR="00470D1E" w:rsidRPr="00470D1E">
        <w:rPr>
          <w:rFonts w:eastAsia="Times New Roman"/>
          <w:color w:val="222222"/>
          <w:lang w:eastAsia="en-US"/>
        </w:rPr>
        <w:t xml:space="preserve">elder is dan </w:t>
      </w:r>
      <w:r>
        <w:rPr>
          <w:rFonts w:eastAsia="Times New Roman"/>
          <w:color w:val="222222"/>
          <w:lang w:eastAsia="en-US"/>
        </w:rPr>
        <w:t>degene die het probleem opmerkt</w:t>
      </w:r>
    </w:p>
    <w:p w:rsidR="00470D1E" w:rsidRPr="00B33A30" w:rsidRDefault="00470D1E" w:rsidP="00B33A30">
      <w:pPr>
        <w:widowControl/>
        <w:numPr>
          <w:ilvl w:val="1"/>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sidRPr="00470D1E">
        <w:rPr>
          <w:rFonts w:eastAsia="Times New Roman"/>
          <w:color w:val="222222"/>
          <w:lang w:eastAsia="en-US"/>
        </w:rPr>
        <w:t>Indiener is dan degene die</w:t>
      </w:r>
      <w:r w:rsidR="00B33A30">
        <w:rPr>
          <w:rFonts w:eastAsia="Times New Roman"/>
          <w:color w:val="222222"/>
          <w:lang w:eastAsia="en-US"/>
        </w:rPr>
        <w:t xml:space="preserve"> de (terug)melding aanmaakt in het systeem</w:t>
      </w:r>
    </w:p>
    <w:p w:rsidR="00B33A30" w:rsidRPr="00470D1E" w:rsidRDefault="00B33A30" w:rsidP="00B33A30">
      <w:pPr>
        <w:widowControl/>
        <w:numPr>
          <w:ilvl w:val="1"/>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t xml:space="preserve">Een betrokkene is een derde die op een of andere manier </w:t>
      </w:r>
      <w:proofErr w:type="spellStart"/>
      <w:r>
        <w:rPr>
          <w:rFonts w:eastAsia="Times New Roman"/>
          <w:color w:val="222222"/>
          <w:lang w:eastAsia="en-US"/>
        </w:rPr>
        <w:t>geïmpacteerd</w:t>
      </w:r>
      <w:proofErr w:type="spellEnd"/>
      <w:r>
        <w:rPr>
          <w:rFonts w:eastAsia="Times New Roman"/>
          <w:color w:val="222222"/>
          <w:lang w:eastAsia="en-US"/>
        </w:rPr>
        <w:t xml:space="preserve"> is door de behandeling van de melding.</w:t>
      </w:r>
    </w:p>
    <w:p w:rsidR="00D02877" w:rsidRPr="00D02877" w:rsidRDefault="00D02877" w:rsidP="00470D1E">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pPr>
    </w:p>
    <w:p w:rsidR="000B2E57" w:rsidRDefault="000B2E57" w:rsidP="000B2E57">
      <w:pPr>
        <w:pStyle w:val="Heading1"/>
        <w:numPr>
          <w:ilvl w:val="0"/>
          <w:numId w:val="1"/>
        </w:numPr>
        <w:spacing w:after="0"/>
        <w:ind w:hanging="432"/>
        <w:jc w:val="both"/>
      </w:pPr>
      <w:r>
        <w:t>Vervolgstappen</w:t>
      </w:r>
    </w:p>
    <w:p w:rsidR="000B2E57" w:rsidRDefault="000B2E57" w:rsidP="000B2E57">
      <w:pPr>
        <w:jc w:val="both"/>
      </w:pPr>
      <w:r>
        <w:t xml:space="preserve">In juli zal deze specificatie worden voorgelegd aan de werkgroep datastandaarden van het Stuurorgaan Vlaams Informatie- en ICT-beleid met de vraag om deze specificatie te promoveren van “ontwerpdocument” naar “kandidaat-standaard”. Tegelijkertijd wordt een publieke reviewperiode opgestart tijdens welke geen wijzigingen aan het model meer worden doorgevoerd maar uiteraard wel nog vragen en feedback kunnen gesteld worden </w:t>
      </w:r>
      <w:hyperlink r:id="rId19" w:history="1">
        <w:r w:rsidRPr="000B2E57">
          <w:rPr>
            <w:rStyle w:val="Hyperlink"/>
          </w:rPr>
          <w:t>via het GitHub forum</w:t>
        </w:r>
      </w:hyperlink>
      <w:r>
        <w:t xml:space="preserve"> of als e-mail naar </w:t>
      </w:r>
      <w:hyperlink r:id="rId20" w:history="1">
        <w:r w:rsidRPr="00A27E96">
          <w:rPr>
            <w:rStyle w:val="Hyperlink"/>
          </w:rPr>
          <w:t>informatie.vlaanderen@vlaanderen.be</w:t>
        </w:r>
      </w:hyperlink>
      <w:r>
        <w:t>. Daarnaast zal er actief gezocht worden naar referentie-implementaties voor de specificatie.</w:t>
      </w:r>
    </w:p>
    <w:p w:rsidR="000B2E57" w:rsidRDefault="000B2E57" w:rsidP="000B2E57">
      <w:pPr>
        <w:jc w:val="both"/>
      </w:pPr>
    </w:p>
    <w:p w:rsidR="000B2E57" w:rsidRDefault="000B2E57" w:rsidP="000B2E57">
      <w:pPr>
        <w:jc w:val="both"/>
      </w:pPr>
      <w:r>
        <w:t xml:space="preserve">Het einde van de reviewperiode wordt bepaald in overleg met de werkgroep datastandaarden, verwacht wordt dat deze zal lopen tot en met september 2018. </w:t>
      </w:r>
    </w:p>
    <w:p w:rsidR="00B33A30" w:rsidRPr="000B2E57" w:rsidRDefault="00B33A30" w:rsidP="00B33A30">
      <w:pPr>
        <w:pStyle w:val="Heading1"/>
      </w:pPr>
      <w:r>
        <w:t>Bijlage</w:t>
      </w:r>
    </w:p>
    <w:tbl>
      <w:tblPr>
        <w:tblW w:w="5000" w:type="pct"/>
        <w:tblCellMar>
          <w:left w:w="0" w:type="dxa"/>
          <w:right w:w="0" w:type="dxa"/>
        </w:tblCellMar>
        <w:tblLook w:val="0600" w:firstRow="0" w:lastRow="0" w:firstColumn="0" w:lastColumn="0" w:noHBand="1" w:noVBand="1"/>
      </w:tblPr>
      <w:tblGrid>
        <w:gridCol w:w="4974"/>
        <w:gridCol w:w="4931"/>
      </w:tblGrid>
      <w:tr w:rsidR="00B33A30" w:rsidRPr="00B33A30" w:rsidTr="00B33A30">
        <w:trPr>
          <w:trHeight w:val="792"/>
        </w:trPr>
        <w:tc>
          <w:tcPr>
            <w:tcW w:w="2511" w:type="pct"/>
            <w:tcBorders>
              <w:top w:val="single" w:sz="6" w:space="0" w:color="DDDDDD"/>
              <w:left w:val="single" w:sz="6" w:space="0" w:color="DDDDDD"/>
              <w:bottom w:val="single" w:sz="6" w:space="0" w:color="DDDDDD"/>
              <w:right w:val="single" w:sz="6" w:space="0" w:color="DDDDDD"/>
            </w:tcBorders>
            <w:shd w:val="clear" w:color="auto" w:fill="F0F0F0"/>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b/>
                <w:bCs/>
                <w:lang w:val="en-US"/>
              </w:rPr>
              <w:t xml:space="preserve">STATUS </w:t>
            </w:r>
            <w:proofErr w:type="spellStart"/>
            <w:r w:rsidRPr="00B33A30">
              <w:rPr>
                <w:rFonts w:asciiTheme="majorHAnsi" w:hAnsiTheme="majorHAnsi" w:cstheme="majorHAnsi"/>
                <w:b/>
                <w:bCs/>
                <w:lang w:val="en-US"/>
              </w:rPr>
              <w:t>op</w:t>
            </w:r>
            <w:proofErr w:type="spellEnd"/>
            <w:r w:rsidRPr="00B33A30">
              <w:rPr>
                <w:rFonts w:asciiTheme="majorHAnsi" w:hAnsiTheme="majorHAnsi" w:cstheme="majorHAnsi"/>
                <w:b/>
                <w:bCs/>
                <w:lang w:val="en-US"/>
              </w:rPr>
              <w:t xml:space="preserve"> </w:t>
            </w:r>
            <w:r w:rsidRPr="00B33A30">
              <w:rPr>
                <w:rFonts w:asciiTheme="majorHAnsi" w:hAnsiTheme="majorHAnsi" w:cstheme="majorHAnsi"/>
                <w:b/>
                <w:bCs/>
                <w:lang w:val="en-US"/>
              </w:rPr>
              <w:br/>
              <w:t>MELDINGSOBJECT-NIVEAU</w:t>
            </w:r>
          </w:p>
        </w:tc>
        <w:tc>
          <w:tcPr>
            <w:tcW w:w="2489" w:type="pct"/>
            <w:tcBorders>
              <w:top w:val="single" w:sz="6" w:space="0" w:color="DDDDDD"/>
              <w:left w:val="single" w:sz="6" w:space="0" w:color="DDDDDD"/>
              <w:bottom w:val="single" w:sz="6" w:space="0" w:color="DDDDDD"/>
              <w:right w:val="single" w:sz="6" w:space="0" w:color="DDDDDD"/>
            </w:tcBorders>
            <w:shd w:val="clear" w:color="auto" w:fill="F0F0F0"/>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b/>
                <w:bCs/>
                <w:lang w:val="en-US"/>
              </w:rPr>
              <w:t xml:space="preserve">STATUS OP </w:t>
            </w:r>
            <w:r w:rsidRPr="00B33A30">
              <w:rPr>
                <w:rFonts w:asciiTheme="majorHAnsi" w:hAnsiTheme="majorHAnsi" w:cstheme="majorHAnsi"/>
                <w:b/>
                <w:bCs/>
                <w:lang w:val="en-US"/>
              </w:rPr>
              <w:br/>
              <w:t>MELDING-NIVEAU</w:t>
            </w:r>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Ingediend</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Ingediend</w:t>
            </w:r>
            <w:proofErr w:type="spellEnd"/>
          </w:p>
        </w:tc>
      </w:tr>
      <w:tr w:rsidR="00B33A30" w:rsidRPr="00B33A30" w:rsidTr="00B33A30">
        <w:trPr>
          <w:trHeight w:val="439"/>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Onontvankelijk</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Onontvankelijk</w:t>
            </w:r>
            <w:proofErr w:type="spellEnd"/>
          </w:p>
        </w:tc>
      </w:tr>
      <w:tr w:rsidR="00B33A30" w:rsidRPr="00B33A30" w:rsidTr="00B33A30">
        <w:trPr>
          <w:trHeight w:val="79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lastRenderedPageBreak/>
              <w:t>Toegewezen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aan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behandelaar</w:t>
            </w:r>
            <w:proofErr w:type="spellEnd"/>
            <w:r w:rsidRPr="00B33A30">
              <w:rPr>
                <w:rFonts w:asciiTheme="majorHAnsi" w:hAnsiTheme="majorHAnsi" w:cstheme="majorHAnsi"/>
                <w:lang w:val="en-US"/>
              </w:rPr>
              <w:t>)</w:t>
            </w:r>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Toegewezen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aan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behandelaar</w:t>
            </w:r>
            <w:proofErr w:type="spellEnd"/>
          </w:p>
        </w:tc>
      </w:tr>
      <w:tr w:rsidR="00B33A30" w:rsidRPr="00B33A30" w:rsidTr="00B33A30">
        <w:trPr>
          <w:trHeight w:val="79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lang w:val="en-US"/>
              </w:rPr>
              <w:t>(</w:t>
            </w:r>
            <w:proofErr w:type="spellStart"/>
            <w:r w:rsidRPr="00B33A30">
              <w:rPr>
                <w:rFonts w:asciiTheme="majorHAnsi" w:hAnsiTheme="majorHAnsi" w:cstheme="majorHAnsi"/>
                <w:lang w:val="en-US"/>
              </w:rPr>
              <w:t>Gevalideerd</w:t>
            </w:r>
            <w:proofErr w:type="spellEnd"/>
            <w:r w:rsidRPr="00B33A30">
              <w:rPr>
                <w:rFonts w:asciiTheme="majorHAnsi" w:hAnsiTheme="majorHAnsi" w:cstheme="majorHAnsi"/>
                <w:lang w:val="en-US"/>
              </w:rPr>
              <w:t>)</w:t>
            </w:r>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lang w:val="en-US"/>
              </w:rPr>
              <w:t>(</w:t>
            </w:r>
            <w:proofErr w:type="spellStart"/>
            <w:r w:rsidRPr="00B33A30">
              <w:rPr>
                <w:rFonts w:asciiTheme="majorHAnsi" w:hAnsiTheme="majorHAnsi" w:cstheme="majorHAnsi"/>
                <w:lang w:val="en-US"/>
              </w:rPr>
              <w:t>Gevalideerd</w:t>
            </w:r>
            <w:proofErr w:type="spellEnd"/>
            <w:r w:rsidRPr="00B33A30">
              <w:rPr>
                <w:rFonts w:asciiTheme="majorHAnsi" w:hAnsiTheme="majorHAnsi" w:cstheme="majorHAnsi"/>
                <w:lang w:val="en-US"/>
              </w:rPr>
              <w:t>)</w:t>
            </w:r>
          </w:p>
        </w:tc>
      </w:tr>
      <w:tr w:rsidR="00B33A30" w:rsidRPr="00B33A30" w:rsidTr="00B33A30">
        <w:trPr>
          <w:trHeight w:val="615"/>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lang w:val="en-US"/>
              </w:rPr>
              <w:t xml:space="preserve">In </w:t>
            </w:r>
            <w:proofErr w:type="spellStart"/>
            <w:r w:rsidRPr="00B33A30">
              <w:rPr>
                <w:rFonts w:asciiTheme="majorHAnsi" w:hAnsiTheme="majorHAnsi" w:cstheme="majorHAnsi"/>
                <w:lang w:val="en-US"/>
              </w:rPr>
              <w:t>onderzoek</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Toegewezen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aan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behandelaar</w:t>
            </w:r>
            <w:proofErr w:type="spellEnd"/>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Ingetrokken</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Ingetrokken</w:t>
            </w:r>
            <w:proofErr w:type="spellEnd"/>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Afgewezen</w:t>
            </w:r>
            <w:proofErr w:type="spellEnd"/>
            <w:r w:rsidRPr="00B33A30">
              <w:rPr>
                <w:rFonts w:asciiTheme="majorHAnsi" w:hAnsiTheme="majorHAnsi" w:cstheme="majorHAnsi"/>
                <w:lang w:val="en-US"/>
              </w:rPr>
              <w:t> </w:t>
            </w:r>
          </w:p>
        </w:tc>
        <w:tc>
          <w:tcPr>
            <w:tcW w:w="2489" w:type="pct"/>
            <w:vMerge w:val="restar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vAlign w:val="cente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Afgerond</w:t>
            </w:r>
            <w:proofErr w:type="spellEnd"/>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Opgelost</w:t>
            </w:r>
            <w:proofErr w:type="spellEnd"/>
          </w:p>
        </w:tc>
        <w:tc>
          <w:tcPr>
            <w:tcW w:w="2489" w:type="pct"/>
            <w:vMerge/>
            <w:tcBorders>
              <w:top w:val="single" w:sz="6" w:space="0" w:color="DDDDDD"/>
              <w:left w:val="single" w:sz="6" w:space="0" w:color="DDDDDD"/>
              <w:bottom w:val="single" w:sz="6" w:space="0" w:color="DDDDDD"/>
              <w:right w:val="single" w:sz="6" w:space="0" w:color="DDDDDD"/>
            </w:tcBorders>
            <w:vAlign w:val="center"/>
            <w:hideMark/>
          </w:tcPr>
          <w:p w:rsidR="00B33A30" w:rsidRPr="00B33A30" w:rsidRDefault="00B33A30" w:rsidP="00B33A30">
            <w:pPr>
              <w:rPr>
                <w:rFonts w:asciiTheme="majorHAnsi" w:hAnsiTheme="majorHAnsi" w:cstheme="majorHAnsi"/>
                <w:lang w:val="en-US"/>
              </w:rPr>
            </w:pPr>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Gesloten</w:t>
            </w:r>
            <w:proofErr w:type="spellEnd"/>
          </w:p>
        </w:tc>
        <w:tc>
          <w:tcPr>
            <w:tcW w:w="2489" w:type="pct"/>
            <w:vMerge/>
            <w:tcBorders>
              <w:top w:val="single" w:sz="6" w:space="0" w:color="DDDDDD"/>
              <w:left w:val="single" w:sz="6" w:space="0" w:color="DDDDDD"/>
              <w:bottom w:val="single" w:sz="6" w:space="0" w:color="DDDDDD"/>
              <w:right w:val="single" w:sz="6" w:space="0" w:color="DDDDDD"/>
            </w:tcBorders>
            <w:vAlign w:val="center"/>
            <w:hideMark/>
          </w:tcPr>
          <w:p w:rsidR="00B33A30" w:rsidRPr="00B33A30" w:rsidRDefault="00B33A30" w:rsidP="00B33A30">
            <w:pPr>
              <w:rPr>
                <w:rFonts w:asciiTheme="majorHAnsi" w:hAnsiTheme="majorHAnsi" w:cstheme="majorHAnsi"/>
                <w:lang w:val="en-US"/>
              </w:rPr>
            </w:pPr>
          </w:p>
        </w:tc>
      </w:tr>
      <w:tr w:rsidR="00B33A30" w:rsidRPr="00B33A30" w:rsidTr="00B33A30">
        <w:trPr>
          <w:trHeight w:val="439"/>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Heringediend</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Heringediend</w:t>
            </w:r>
            <w:proofErr w:type="spellEnd"/>
          </w:p>
        </w:tc>
      </w:tr>
      <w:tr w:rsidR="00B33A30" w:rsidRPr="00B33A30" w:rsidTr="00B33A30">
        <w:trPr>
          <w:trHeight w:val="439"/>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Definitief</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gesloten</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Definitief</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gesloten</w:t>
            </w:r>
            <w:proofErr w:type="spellEnd"/>
          </w:p>
        </w:tc>
      </w:tr>
    </w:tbl>
    <w:p w:rsidR="000B2E57" w:rsidRDefault="00B33A30" w:rsidP="00B33A30">
      <w:r>
        <w:t>() = optioneel</w:t>
      </w:r>
    </w:p>
    <w:p w:rsidR="00B33A30" w:rsidRDefault="00B33A30" w:rsidP="00B33A30"/>
    <w:p w:rsidR="00B33A30" w:rsidRDefault="00B33A30" w:rsidP="00B33A30">
      <w:pPr>
        <w:pStyle w:val="ListParagraph"/>
        <w:numPr>
          <w:ilvl w:val="0"/>
          <w:numId w:val="23"/>
        </w:numPr>
      </w:pPr>
      <w:r>
        <w:t xml:space="preserve">Ingediend - Uw melding werd succesvol </w:t>
      </w:r>
      <w:r>
        <w:t>geregistreerd</w:t>
      </w:r>
      <w:r>
        <w:t>.</w:t>
      </w:r>
    </w:p>
    <w:p w:rsidR="00B33A30" w:rsidRDefault="00B33A30" w:rsidP="00B33A30">
      <w:pPr>
        <w:pStyle w:val="ListParagraph"/>
        <w:numPr>
          <w:ilvl w:val="0"/>
          <w:numId w:val="23"/>
        </w:numPr>
      </w:pPr>
      <w:r>
        <w:t>Toegewezen aan - Uw melding werd toegewezen aan een behandelaar.</w:t>
      </w:r>
    </w:p>
    <w:p w:rsidR="00B33A30" w:rsidRDefault="00B33A30" w:rsidP="00B33A30">
      <w:pPr>
        <w:pStyle w:val="ListParagraph"/>
        <w:numPr>
          <w:ilvl w:val="0"/>
          <w:numId w:val="23"/>
        </w:numPr>
      </w:pPr>
      <w:r>
        <w:t>In onderzoek - Uw melding werd door de behandelaar in onderzoek geplaatst.</w:t>
      </w:r>
    </w:p>
    <w:p w:rsidR="00B33A30" w:rsidRDefault="00B33A30" w:rsidP="00B33A30">
      <w:pPr>
        <w:pStyle w:val="ListParagraph"/>
        <w:numPr>
          <w:ilvl w:val="0"/>
          <w:numId w:val="23"/>
        </w:numPr>
      </w:pPr>
      <w:r>
        <w:t xml:space="preserve">Opgelost - Uw melding werd na onderzoek door onze behandelaar opgelost. </w:t>
      </w:r>
    </w:p>
    <w:p w:rsidR="00B33A30" w:rsidRDefault="00B33A30" w:rsidP="00B33A30">
      <w:pPr>
        <w:pStyle w:val="ListParagraph"/>
        <w:numPr>
          <w:ilvl w:val="0"/>
          <w:numId w:val="23"/>
        </w:numPr>
      </w:pPr>
      <w:r>
        <w:t>Afgewezen - Uw melding werd na onderzoek door onze behandelaar afgewezen.</w:t>
      </w:r>
    </w:p>
    <w:p w:rsidR="00B33A30" w:rsidRDefault="00B33A30" w:rsidP="00B33A30">
      <w:pPr>
        <w:pStyle w:val="ListParagraph"/>
        <w:numPr>
          <w:ilvl w:val="0"/>
          <w:numId w:val="23"/>
        </w:numPr>
      </w:pPr>
      <w:r>
        <w:t>Gesloten - Uw melding kon niet behandeld worden en is gesloten.</w:t>
      </w:r>
    </w:p>
    <w:p w:rsidR="00B33A30" w:rsidRDefault="00B33A30" w:rsidP="00B33A30">
      <w:pPr>
        <w:pStyle w:val="ListParagraph"/>
        <w:numPr>
          <w:ilvl w:val="0"/>
          <w:numId w:val="23"/>
        </w:numPr>
      </w:pPr>
      <w:r>
        <w:t>Ingetrokken - Uw melding werd ingetrokken.</w:t>
      </w:r>
    </w:p>
    <w:p w:rsidR="00B33A30" w:rsidRDefault="00B33A30" w:rsidP="00B33A30">
      <w:pPr>
        <w:pStyle w:val="ListParagraph"/>
        <w:numPr>
          <w:ilvl w:val="0"/>
          <w:numId w:val="23"/>
        </w:numPr>
      </w:pPr>
      <w:proofErr w:type="spellStart"/>
      <w:r>
        <w:t>Heringediend</w:t>
      </w:r>
      <w:proofErr w:type="spellEnd"/>
      <w:r>
        <w:t xml:space="preserve"> - Uw melding werd opnieuw ingediend bij de Digitale terugmelding (GTMF)</w:t>
      </w:r>
    </w:p>
    <w:p w:rsidR="00B33A30" w:rsidRDefault="00B33A30" w:rsidP="00B33A30">
      <w:pPr>
        <w:pStyle w:val="ListParagraph"/>
        <w:numPr>
          <w:ilvl w:val="0"/>
          <w:numId w:val="23"/>
        </w:numPr>
      </w:pPr>
      <w:r>
        <w:t xml:space="preserve">Onontvankelijk - Uw melding is </w:t>
      </w:r>
      <w:proofErr w:type="spellStart"/>
      <w:r>
        <w:t>ontontvankelijk</w:t>
      </w:r>
      <w:proofErr w:type="spellEnd"/>
    </w:p>
    <w:p w:rsidR="00B33A30" w:rsidRPr="00C376D2" w:rsidRDefault="00B33A30" w:rsidP="00B33A30">
      <w:pPr>
        <w:pStyle w:val="ListParagraph"/>
        <w:numPr>
          <w:ilvl w:val="0"/>
          <w:numId w:val="23"/>
        </w:numPr>
      </w:pPr>
      <w:r>
        <w:t xml:space="preserve">Definitief gesloten - Uw melding werd definitief gesloten en kan niet meer </w:t>
      </w:r>
      <w:proofErr w:type="spellStart"/>
      <w:r>
        <w:t>heringediend</w:t>
      </w:r>
      <w:proofErr w:type="spellEnd"/>
      <w:r>
        <w:t xml:space="preserve"> worden</w:t>
      </w:r>
    </w:p>
    <w:sectPr w:rsidR="00B33A30" w:rsidRPr="00C376D2" w:rsidSect="00443BA8">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35" w:rsidRDefault="00072435">
      <w:pPr>
        <w:spacing w:before="0" w:after="0" w:line="240" w:lineRule="auto"/>
      </w:pPr>
      <w:r>
        <w:separator/>
      </w:r>
    </w:p>
  </w:endnote>
  <w:endnote w:type="continuationSeparator" w:id="0">
    <w:p w:rsidR="00072435" w:rsidRDefault="000724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0B2E57">
    <w:pPr>
      <w:tabs>
        <w:tab w:val="right" w:pos="9923"/>
      </w:tabs>
      <w:spacing w:line="240" w:lineRule="auto"/>
    </w:pPr>
    <w:proofErr w:type="spellStart"/>
    <w:r>
      <w:rPr>
        <w:color w:val="373636"/>
        <w:sz w:val="16"/>
        <w:szCs w:val="16"/>
      </w:rPr>
      <w:t>Werkgroepsessie</w:t>
    </w:r>
    <w:proofErr w:type="spellEnd"/>
    <w:r>
      <w:rPr>
        <w:color w:val="373636"/>
        <w:sz w:val="16"/>
        <w:szCs w:val="16"/>
      </w:rPr>
      <w:t xml:space="preserve"> – OSLO</w:t>
    </w:r>
    <w:r w:rsidR="007778D4">
      <w:rPr>
        <w:color w:val="373636"/>
        <w:sz w:val="16"/>
        <w:szCs w:val="16"/>
      </w:rPr>
      <w:t xml:space="preserve"> - Mijn Burgerprof</w:t>
    </w:r>
    <w:r>
      <w:rPr>
        <w:color w:val="373636"/>
        <w:sz w:val="16"/>
        <w:szCs w:val="16"/>
      </w:rPr>
      <w:t>iel – Terugmelding – Werkgroep 3</w:t>
    </w:r>
    <w:r w:rsidR="00652CF2">
      <w:rPr>
        <w:color w:val="373636"/>
        <w:sz w:val="16"/>
        <w:szCs w:val="16"/>
      </w:rPr>
      <w:tab/>
    </w:r>
    <w:r w:rsidR="00652CF2">
      <w:fldChar w:fldCharType="begin"/>
    </w:r>
    <w:r w:rsidR="00652CF2">
      <w:instrText>PAGE</w:instrText>
    </w:r>
    <w:r w:rsidR="00652CF2">
      <w:fldChar w:fldCharType="separate"/>
    </w:r>
    <w:r w:rsidR="00F878D3">
      <w:rPr>
        <w:noProof/>
      </w:rPr>
      <w:t>2</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F878D3">
      <w:rPr>
        <w:noProof/>
      </w:rPr>
      <w:t>5</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35" w:rsidRDefault="00072435">
      <w:pPr>
        <w:spacing w:before="0" w:after="0" w:line="240" w:lineRule="auto"/>
      </w:pPr>
      <w:r>
        <w:separator/>
      </w:r>
    </w:p>
  </w:footnote>
  <w:footnote w:type="continuationSeparator" w:id="0">
    <w:p w:rsidR="00072435" w:rsidRDefault="000724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0E2F08"/>
    <w:multiLevelType w:val="multilevel"/>
    <w:tmpl w:val="66AA02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091062AC"/>
    <w:multiLevelType w:val="multilevel"/>
    <w:tmpl w:val="5EC6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66E99"/>
    <w:multiLevelType w:val="multilevel"/>
    <w:tmpl w:val="4FE8E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8358CF"/>
    <w:multiLevelType w:val="hybridMultilevel"/>
    <w:tmpl w:val="391AE786"/>
    <w:lvl w:ilvl="0" w:tplc="0409000F">
      <w:start w:val="1"/>
      <w:numFmt w:val="decimal"/>
      <w:lvlText w:val="%1."/>
      <w:lvlJc w:val="left"/>
      <w:pPr>
        <w:ind w:left="720" w:hanging="360"/>
      </w:pPr>
    </w:lvl>
    <w:lvl w:ilvl="1" w:tplc="8EEEB63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A381D"/>
    <w:multiLevelType w:val="multilevel"/>
    <w:tmpl w:val="BFEA10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A0650D0"/>
    <w:multiLevelType w:val="multilevel"/>
    <w:tmpl w:val="218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7527D"/>
    <w:multiLevelType w:val="multilevel"/>
    <w:tmpl w:val="7CC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84B70"/>
    <w:multiLevelType w:val="multilevel"/>
    <w:tmpl w:val="A98AC2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C04701"/>
    <w:multiLevelType w:val="multilevel"/>
    <w:tmpl w:val="735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87426C"/>
    <w:multiLevelType w:val="multilevel"/>
    <w:tmpl w:val="F5D2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4C147C"/>
    <w:multiLevelType w:val="multilevel"/>
    <w:tmpl w:val="2190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5F45D8"/>
    <w:multiLevelType w:val="multilevel"/>
    <w:tmpl w:val="82546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C07DDE"/>
    <w:multiLevelType w:val="multilevel"/>
    <w:tmpl w:val="03588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23568ED"/>
    <w:multiLevelType w:val="multilevel"/>
    <w:tmpl w:val="04C0AD6A"/>
    <w:lvl w:ilvl="0">
      <w:start w:val="2"/>
      <w:numFmt w:val="decimal"/>
      <w:lvlText w:val="%1."/>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3435DE8"/>
    <w:multiLevelType w:val="multilevel"/>
    <w:tmpl w:val="A6D6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06BDB"/>
    <w:multiLevelType w:val="multilevel"/>
    <w:tmpl w:val="1FD8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E25440"/>
    <w:multiLevelType w:val="multilevel"/>
    <w:tmpl w:val="A2C62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5C79FD"/>
    <w:multiLevelType w:val="multilevel"/>
    <w:tmpl w:val="66AA02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0" w15:restartNumberingAfterBreak="0">
    <w:nsid w:val="6D261CC9"/>
    <w:multiLevelType w:val="multilevel"/>
    <w:tmpl w:val="0758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94747"/>
    <w:multiLevelType w:val="multilevel"/>
    <w:tmpl w:val="76A2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9226B4"/>
    <w:multiLevelType w:val="multilevel"/>
    <w:tmpl w:val="054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5"/>
  </w:num>
  <w:num w:numId="4">
    <w:abstractNumId w:val="2"/>
  </w:num>
  <w:num w:numId="5">
    <w:abstractNumId w:val="14"/>
  </w:num>
  <w:num w:numId="6">
    <w:abstractNumId w:val="12"/>
  </w:num>
  <w:num w:numId="7">
    <w:abstractNumId w:val="7"/>
  </w:num>
  <w:num w:numId="8">
    <w:abstractNumId w:val="22"/>
  </w:num>
  <w:num w:numId="9">
    <w:abstractNumId w:val="16"/>
  </w:num>
  <w:num w:numId="10">
    <w:abstractNumId w:val="9"/>
  </w:num>
  <w:num w:numId="11">
    <w:abstractNumId w:val="17"/>
  </w:num>
  <w:num w:numId="12">
    <w:abstractNumId w:val="20"/>
  </w:num>
  <w:num w:numId="13">
    <w:abstractNumId w:val="11"/>
  </w:num>
  <w:num w:numId="14">
    <w:abstractNumId w:val="21"/>
  </w:num>
  <w:num w:numId="15">
    <w:abstractNumId w:val="4"/>
  </w:num>
  <w:num w:numId="16">
    <w:abstractNumId w:val="1"/>
  </w:num>
  <w:num w:numId="17">
    <w:abstractNumId w:val="18"/>
  </w:num>
  <w:num w:numId="18">
    <w:abstractNumId w:val="8"/>
  </w:num>
  <w:num w:numId="19">
    <w:abstractNumId w:val="3"/>
  </w:num>
  <w:num w:numId="20">
    <w:abstractNumId w:val="13"/>
  </w:num>
  <w:num w:numId="21">
    <w:abstractNumId w:val="10"/>
  </w:num>
  <w:num w:numId="22">
    <w:abstractNumId w:val="6"/>
  </w:num>
  <w:num w:numId="2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72435"/>
    <w:rsid w:val="000B2E57"/>
    <w:rsid w:val="000D6F1F"/>
    <w:rsid w:val="00186A80"/>
    <w:rsid w:val="002042E7"/>
    <w:rsid w:val="002118F3"/>
    <w:rsid w:val="00247284"/>
    <w:rsid w:val="00291AAB"/>
    <w:rsid w:val="002B4C7B"/>
    <w:rsid w:val="0030717E"/>
    <w:rsid w:val="003506A8"/>
    <w:rsid w:val="003F2FC3"/>
    <w:rsid w:val="00425B27"/>
    <w:rsid w:val="00443BA8"/>
    <w:rsid w:val="00470D1E"/>
    <w:rsid w:val="004B3F82"/>
    <w:rsid w:val="004C1014"/>
    <w:rsid w:val="004E17D7"/>
    <w:rsid w:val="005C6618"/>
    <w:rsid w:val="006145AC"/>
    <w:rsid w:val="00650435"/>
    <w:rsid w:val="00652CF2"/>
    <w:rsid w:val="006B214D"/>
    <w:rsid w:val="007778D4"/>
    <w:rsid w:val="007B4251"/>
    <w:rsid w:val="007F73A3"/>
    <w:rsid w:val="00836BA7"/>
    <w:rsid w:val="008A3FF2"/>
    <w:rsid w:val="008A699E"/>
    <w:rsid w:val="00920C6F"/>
    <w:rsid w:val="00A5225F"/>
    <w:rsid w:val="00A81198"/>
    <w:rsid w:val="00B06BF9"/>
    <w:rsid w:val="00B141E8"/>
    <w:rsid w:val="00B33A30"/>
    <w:rsid w:val="00C24078"/>
    <w:rsid w:val="00C27C8E"/>
    <w:rsid w:val="00C376D2"/>
    <w:rsid w:val="00C4196D"/>
    <w:rsid w:val="00CB322C"/>
    <w:rsid w:val="00CC2420"/>
    <w:rsid w:val="00D02877"/>
    <w:rsid w:val="00DA40EF"/>
    <w:rsid w:val="00E63646"/>
    <w:rsid w:val="00EC75D6"/>
    <w:rsid w:val="00EF0790"/>
    <w:rsid w:val="00F35F4B"/>
    <w:rsid w:val="00F8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6491"/>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916">
      <w:bodyDiv w:val="1"/>
      <w:marLeft w:val="0"/>
      <w:marRight w:val="0"/>
      <w:marTop w:val="0"/>
      <w:marBottom w:val="0"/>
      <w:divBdr>
        <w:top w:val="none" w:sz="0" w:space="0" w:color="auto"/>
        <w:left w:val="none" w:sz="0" w:space="0" w:color="auto"/>
        <w:bottom w:val="none" w:sz="0" w:space="0" w:color="auto"/>
        <w:right w:val="none" w:sz="0" w:space="0" w:color="auto"/>
      </w:divBdr>
    </w:div>
    <w:div w:id="81143624">
      <w:bodyDiv w:val="1"/>
      <w:marLeft w:val="0"/>
      <w:marRight w:val="0"/>
      <w:marTop w:val="0"/>
      <w:marBottom w:val="0"/>
      <w:divBdr>
        <w:top w:val="none" w:sz="0" w:space="0" w:color="auto"/>
        <w:left w:val="none" w:sz="0" w:space="0" w:color="auto"/>
        <w:bottom w:val="none" w:sz="0" w:space="0" w:color="auto"/>
        <w:right w:val="none" w:sz="0" w:space="0" w:color="auto"/>
      </w:divBdr>
      <w:divsChild>
        <w:div w:id="457649182">
          <w:marLeft w:val="0"/>
          <w:marRight w:val="0"/>
          <w:marTop w:val="0"/>
          <w:marBottom w:val="0"/>
          <w:divBdr>
            <w:top w:val="none" w:sz="0" w:space="0" w:color="auto"/>
            <w:left w:val="none" w:sz="0" w:space="0" w:color="auto"/>
            <w:bottom w:val="none" w:sz="0" w:space="0" w:color="auto"/>
            <w:right w:val="none" w:sz="0" w:space="0" w:color="auto"/>
          </w:divBdr>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46347615">
      <w:bodyDiv w:val="1"/>
      <w:marLeft w:val="0"/>
      <w:marRight w:val="0"/>
      <w:marTop w:val="0"/>
      <w:marBottom w:val="0"/>
      <w:divBdr>
        <w:top w:val="none" w:sz="0" w:space="0" w:color="auto"/>
        <w:left w:val="none" w:sz="0" w:space="0" w:color="auto"/>
        <w:bottom w:val="none" w:sz="0" w:space="0" w:color="auto"/>
        <w:right w:val="none" w:sz="0" w:space="0" w:color="auto"/>
      </w:divBdr>
    </w:div>
    <w:div w:id="910039880">
      <w:bodyDiv w:val="1"/>
      <w:marLeft w:val="0"/>
      <w:marRight w:val="0"/>
      <w:marTop w:val="0"/>
      <w:marBottom w:val="0"/>
      <w:divBdr>
        <w:top w:val="none" w:sz="0" w:space="0" w:color="auto"/>
        <w:left w:val="none" w:sz="0" w:space="0" w:color="auto"/>
        <w:bottom w:val="none" w:sz="0" w:space="0" w:color="auto"/>
        <w:right w:val="none" w:sz="0" w:space="0" w:color="auto"/>
      </w:divBdr>
    </w:div>
    <w:div w:id="1000356294">
      <w:bodyDiv w:val="1"/>
      <w:marLeft w:val="0"/>
      <w:marRight w:val="0"/>
      <w:marTop w:val="0"/>
      <w:marBottom w:val="0"/>
      <w:divBdr>
        <w:top w:val="none" w:sz="0" w:space="0" w:color="auto"/>
        <w:left w:val="none" w:sz="0" w:space="0" w:color="auto"/>
        <w:bottom w:val="none" w:sz="0" w:space="0" w:color="auto"/>
        <w:right w:val="none" w:sz="0" w:space="0" w:color="auto"/>
      </w:divBdr>
    </w:div>
    <w:div w:id="1180313124">
      <w:bodyDiv w:val="1"/>
      <w:marLeft w:val="0"/>
      <w:marRight w:val="0"/>
      <w:marTop w:val="0"/>
      <w:marBottom w:val="0"/>
      <w:divBdr>
        <w:top w:val="none" w:sz="0" w:space="0" w:color="auto"/>
        <w:left w:val="none" w:sz="0" w:space="0" w:color="auto"/>
        <w:bottom w:val="none" w:sz="0" w:space="0" w:color="auto"/>
        <w:right w:val="none" w:sz="0" w:space="0" w:color="auto"/>
      </w:divBdr>
    </w:div>
    <w:div w:id="1378891159">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718479">
      <w:bodyDiv w:val="1"/>
      <w:marLeft w:val="0"/>
      <w:marRight w:val="0"/>
      <w:marTop w:val="0"/>
      <w:marBottom w:val="0"/>
      <w:divBdr>
        <w:top w:val="none" w:sz="0" w:space="0" w:color="auto"/>
        <w:left w:val="none" w:sz="0" w:space="0" w:color="auto"/>
        <w:bottom w:val="none" w:sz="0" w:space="0" w:color="auto"/>
        <w:right w:val="none" w:sz="0" w:space="0" w:color="auto"/>
      </w:divBdr>
    </w:div>
    <w:div w:id="1634947653">
      <w:bodyDiv w:val="1"/>
      <w:marLeft w:val="0"/>
      <w:marRight w:val="0"/>
      <w:marTop w:val="0"/>
      <w:marBottom w:val="0"/>
      <w:divBdr>
        <w:top w:val="none" w:sz="0" w:space="0" w:color="auto"/>
        <w:left w:val="none" w:sz="0" w:space="0" w:color="auto"/>
        <w:bottom w:val="none" w:sz="0" w:space="0" w:color="auto"/>
        <w:right w:val="none" w:sz="0" w:space="0" w:color="auto"/>
      </w:divBdr>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1668363260">
      <w:bodyDiv w:val="1"/>
      <w:marLeft w:val="0"/>
      <w:marRight w:val="0"/>
      <w:marTop w:val="0"/>
      <w:marBottom w:val="0"/>
      <w:divBdr>
        <w:top w:val="none" w:sz="0" w:space="0" w:color="auto"/>
        <w:left w:val="none" w:sz="0" w:space="0" w:color="auto"/>
        <w:bottom w:val="none" w:sz="0" w:space="0" w:color="auto"/>
        <w:right w:val="none" w:sz="0" w:space="0" w:color="auto"/>
      </w:divBdr>
    </w:div>
    <w:div w:id="204270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data.vlaanderen.be/doc/applicatieprofiel/gtm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ata.vlaanderen.be/doc/applicatieprofiel/melding" TargetMode="External"/><Relationship Id="rId2" Type="http://schemas.openxmlformats.org/officeDocument/2006/relationships/customXml" Target="../customXml/item2.xml"/><Relationship Id="rId16" Type="http://schemas.openxmlformats.org/officeDocument/2006/relationships/hyperlink" Target="https://data.vlaanderen.be/ns/melding" TargetMode="External"/><Relationship Id="rId20" Type="http://schemas.openxmlformats.org/officeDocument/2006/relationships/hyperlink" Target="mailto:informatie.vlaanderen@vlaanderen.b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github.com/Informatievlaanderen/OSLO-Discussion/iss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Props1.xml><?xml version="1.0" encoding="utf-8"?>
<ds:datastoreItem xmlns:ds="http://schemas.openxmlformats.org/officeDocument/2006/customXml" ds:itemID="{53C6A681-B6AB-4667-89BB-AB533F9FD17D}">
  <ds:schemaRefs>
    <ds:schemaRef ds:uri="http://schemas.microsoft.com/sharepoint/v3/contenttype/forms"/>
  </ds:schemaRefs>
</ds:datastoreItem>
</file>

<file path=customXml/itemProps2.xml><?xml version="1.0" encoding="utf-8"?>
<ds:datastoreItem xmlns:ds="http://schemas.openxmlformats.org/officeDocument/2006/customXml" ds:itemID="{07A0A27C-5CEE-43FA-B822-EE2616475AF1}"/>
</file>

<file path=customXml/itemProps3.xml><?xml version="1.0" encoding="utf-8"?>
<ds:datastoreItem xmlns:ds="http://schemas.openxmlformats.org/officeDocument/2006/customXml" ds:itemID="{BDBC594F-852F-4336-848C-9C6B8C7687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6139</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18</cp:revision>
  <dcterms:created xsi:type="dcterms:W3CDTF">2018-05-07T15:19:00Z</dcterms:created>
  <dcterms:modified xsi:type="dcterms:W3CDTF">2018-06-29T15:50:00Z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