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BF" w:rsidRDefault="00D62CE0">
      <w:pPr>
        <w:rPr>
          <w:rFonts w:ascii="FlandersArtSans-Regular" w:eastAsia="FlandersArtSans-Regular" w:hAnsi="FlandersArtSans-Regular" w:cs="FlandersArtSans-Regular"/>
          <w:sz w:val="48"/>
          <w:szCs w:val="48"/>
        </w:rPr>
      </w:pPr>
      <w:bookmarkStart w:id="0" w:name="_heading=h.gjdgxs" w:colFirst="0" w:colLast="0"/>
      <w:bookmarkEnd w:id="0"/>
      <w:r>
        <w:rPr>
          <w:rFonts w:ascii="FlandersArtSans-Regular" w:eastAsia="FlandersArtSans-Regular" w:hAnsi="FlandersArtSans-Regular" w:cs="FlandersArtSans-Regular"/>
          <w:b/>
          <w:color w:val="FFF200"/>
          <w:sz w:val="48"/>
          <w:szCs w:val="48"/>
        </w:rPr>
        <w:t>///</w:t>
      </w:r>
      <w:r>
        <w:rPr>
          <w:rFonts w:ascii="FlandersArtSans-Regular" w:eastAsia="FlandersArtSans-Regular" w:hAnsi="FlandersArtSans-Regular" w:cs="FlandersArtSans-Regular"/>
          <w:color w:val="6B6B6B"/>
          <w:sz w:val="48"/>
          <w:szCs w:val="48"/>
        </w:rPr>
        <w:t xml:space="preserve"> </w:t>
      </w:r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OSLO Mobiliteit - Dienstregeling en Planning: Thematische Werkgroep 2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  <w:bookmarkStart w:id="1" w:name="_GoBack"/>
      <w:bookmarkEnd w:id="1"/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Datum: 25/03/2021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Locatie: </w:t>
      </w:r>
      <w:r>
        <w:rPr>
          <w:rFonts w:ascii="FlandersArtSans-Regular" w:eastAsia="FlandersArtSans-Regular" w:hAnsi="FlandersArtSans-Regular" w:cs="FlandersArtSans-Regular"/>
          <w:noProof/>
        </w:rPr>
        <w:drawing>
          <wp:inline distT="0" distB="0" distL="0" distR="0">
            <wp:extent cx="142875" cy="142875"/>
            <wp:effectExtent l="0" t="0" r="0" b="0"/>
            <wp:docPr id="1712168128" name="image1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fbeeldingsresultaat voor map indicator ic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landersArtSans-Regular" w:eastAsia="FlandersArtSans-Regular" w:hAnsi="FlandersArtSans-Regular" w:cs="FlandersArtSans-Regular"/>
        </w:rPr>
        <w:t xml:space="preserve"> Teams meeting (virtueel)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</w:t>
      </w:r>
      <w:r>
        <w:rPr>
          <w:rFonts w:ascii="FlandersArtSans-Regular" w:eastAsia="FlandersArtSans-Regular" w:hAnsi="FlandersArtSans-Regular" w:cs="FlandersArtSans-Regular"/>
          <w:b/>
          <w:color w:val="FFF200"/>
        </w:rPr>
        <w:t>///////</w:t>
      </w:r>
    </w:p>
    <w:p w:rsidR="002863BF" w:rsidRDefault="00D62CE0">
      <w:pPr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Aanwezigen</w:t>
      </w:r>
    </w:p>
    <w:p w:rsidR="002863BF" w:rsidRDefault="00D62C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Informatie Vlaanderen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Dimitri Schepers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Geert Thijs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</w:rPr>
        <w:t>Laurens Vercauteren</w:t>
      </w:r>
    </w:p>
    <w:p w:rsidR="002863BF" w:rsidRDefault="00D62C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De Lijn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Nico Celen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Tim Coninx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Maarten Put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</w:rPr>
      </w:pPr>
      <w:r>
        <w:rPr>
          <w:rFonts w:ascii="FlandersArtSans-Regular" w:eastAsia="FlandersArtSans-Regular" w:hAnsi="FlandersArtSans-Regular" w:cs="FlandersArtSans-Regular"/>
          <w:color w:val="000000"/>
        </w:rPr>
        <w:t>Els Wuyts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Lendert Vanderwaeren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Mitchel Desmet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Jan Verelst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Tim Coninx </w:t>
      </w:r>
    </w:p>
    <w:p w:rsidR="002863BF" w:rsidRDefault="00D62C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Wim Van Laere</w:t>
      </w:r>
    </w:p>
    <w:p w:rsidR="002863BF" w:rsidRDefault="002863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landersArtSans-Regular" w:eastAsia="FlandersArtSans-Regular" w:hAnsi="FlandersArtSans-Regular" w:cs="FlandersArtSans-Regular"/>
          <w:color w:val="000000"/>
          <w:highlight w:val="yellow"/>
        </w:rPr>
      </w:pPr>
    </w:p>
    <w:p w:rsidR="002863BF" w:rsidRDefault="00D62CE0">
      <w:pPr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Agenda</w:t>
      </w: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10’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Introduction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10’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 xml:space="preserve">Recap 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90’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Stop Place examples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10’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Break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40’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Discussion AP Stop Places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10’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Q&amp;A</w:t>
            </w:r>
          </w:p>
        </w:tc>
      </w:tr>
      <w:tr w:rsidR="002863BF">
        <w:tc>
          <w:tcPr>
            <w:tcW w:w="1555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color w:val="A5A5A5" w:themeColor="accent3"/>
                <w:lang w:eastAsia="en-US"/>
              </w:rPr>
            </w:pPr>
            <w:r w:rsidRPr="00114CB8">
              <w:rPr>
                <w:rFonts w:ascii="FlandersArtSans-Regular" w:hAnsi="FlandersArtSans-Regular"/>
                <w:color w:val="A5A5A5" w:themeColor="accent3"/>
                <w:lang w:eastAsia="en-US"/>
              </w:rPr>
              <w:t>10’</w:t>
            </w:r>
          </w:p>
        </w:tc>
        <w:tc>
          <w:tcPr>
            <w:tcW w:w="7512" w:type="dxa"/>
          </w:tcPr>
          <w:p w:rsidR="002863BF" w:rsidRPr="00114CB8" w:rsidRDefault="00D62CE0">
            <w:pPr>
              <w:spacing w:line="360" w:lineRule="auto"/>
              <w:rPr>
                <w:rFonts w:ascii="FlandersArtSans-Regular" w:hAnsi="FlandersArtSans-Regular"/>
                <w:lang w:eastAsia="en-US"/>
              </w:rPr>
            </w:pPr>
            <w:r w:rsidRPr="00114CB8">
              <w:rPr>
                <w:rFonts w:ascii="FlandersArtSans-Regular" w:hAnsi="FlandersArtSans-Regular"/>
                <w:lang w:eastAsia="en-US"/>
              </w:rPr>
              <w:t>Next Steps</w:t>
            </w:r>
          </w:p>
        </w:tc>
      </w:tr>
    </w:tbl>
    <w:p w:rsidR="002863BF" w:rsidRDefault="002863BF">
      <w:pPr>
        <w:rPr>
          <w:b/>
        </w:rPr>
      </w:pPr>
    </w:p>
    <w:p w:rsidR="002863BF" w:rsidRDefault="00D62CE0">
      <w:pPr>
        <w:rPr>
          <w:b/>
        </w:rPr>
      </w:pPr>
      <w:r>
        <w:br w:type="page"/>
      </w:r>
    </w:p>
    <w:p w:rsidR="002863BF" w:rsidRDefault="00D62CE0">
      <w:pP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Thematische Werkgroep 3: Stop Places</w:t>
      </w:r>
    </w:p>
    <w:p w:rsidR="002863BF" w:rsidRDefault="00D62CE0">
      <w:pPr>
        <w:spacing w:line="276" w:lineRule="auto"/>
        <w:rPr>
          <w:b/>
        </w:rPr>
      </w:pPr>
      <w:r>
        <w:rPr>
          <w:b/>
          <w:sz w:val="24"/>
          <w:szCs w:val="24"/>
        </w:rPr>
        <w:t>Voorbeelden stop places</w:t>
      </w:r>
    </w:p>
    <w:p w:rsidR="002863BF" w:rsidRDefault="00D62CE0">
      <w:pPr>
        <w:numPr>
          <w:ilvl w:val="0"/>
          <w:numId w:val="1"/>
        </w:numPr>
        <w:spacing w:line="276" w:lineRule="auto"/>
        <w:jc w:val="both"/>
      </w:pPr>
      <w:r>
        <w:t xml:space="preserve">Idee achter stop places: fysieke stoppunt loskoppelen en niet louter in functie van logische StopPoint in Journey. </w:t>
      </w:r>
    </w:p>
    <w:p w:rsidR="002863BF" w:rsidRDefault="00D62CE0">
      <w:pPr>
        <w:numPr>
          <w:ilvl w:val="1"/>
          <w:numId w:val="1"/>
        </w:numPr>
        <w:spacing w:line="276" w:lineRule="auto"/>
        <w:jc w:val="both"/>
      </w:pPr>
      <w:r>
        <w:t>→ separation of concerns (ook beschreven in NeTEx)</w:t>
      </w:r>
    </w:p>
    <w:p w:rsidR="002863BF" w:rsidRDefault="00D62CE0">
      <w:pPr>
        <w:numPr>
          <w:ilvl w:val="1"/>
          <w:numId w:val="1"/>
        </w:numPr>
        <w:spacing w:line="276" w:lineRule="auto"/>
        <w:jc w:val="both"/>
      </w:pPr>
      <w:r>
        <w:t>Wat is het voordeel zonder multimodale? Dmv spacial overlay samentrekken StopPlaces. Dele</w:t>
      </w:r>
      <w:r>
        <w:t xml:space="preserve">n van StopPlaces met elkaar. </w:t>
      </w:r>
    </w:p>
    <w:p w:rsidR="002863BF" w:rsidRDefault="00D62CE0">
      <w:pPr>
        <w:numPr>
          <w:ilvl w:val="0"/>
          <w:numId w:val="1"/>
        </w:numPr>
        <w:spacing w:line="276" w:lineRule="auto"/>
        <w:jc w:val="both"/>
      </w:pPr>
      <w:r>
        <w:t xml:space="preserve">Ook deze stop places kunnen opgedeeld worden en hiërarchie kan aangebracht worden. </w:t>
      </w:r>
    </w:p>
    <w:p w:rsidR="002863BF" w:rsidRDefault="00D62CE0">
      <w:pPr>
        <w:numPr>
          <w:ilvl w:val="1"/>
          <w:numId w:val="1"/>
        </w:numPr>
        <w:spacing w:line="276" w:lineRule="auto"/>
        <w:jc w:val="both"/>
      </w:pPr>
      <w:r>
        <w:t>Impliciete of expliciete connecties te leggen tussen sites voorzien door NeTEx</w:t>
      </w:r>
    </w:p>
    <w:p w:rsidR="002863BF" w:rsidRDefault="00D62CE0">
      <w:pPr>
        <w:numPr>
          <w:ilvl w:val="1"/>
          <w:numId w:val="1"/>
        </w:numPr>
        <w:spacing w:line="276" w:lineRule="auto"/>
        <w:jc w:val="both"/>
      </w:pPr>
      <w:r>
        <w:t xml:space="preserve">StopPlace kan meerdere StopPoints van verschillende StopTypes bevatten. </w:t>
      </w:r>
    </w:p>
    <w:p w:rsidR="002863BF" w:rsidRDefault="00D62CE0">
      <w:pPr>
        <w:numPr>
          <w:ilvl w:val="1"/>
          <w:numId w:val="1"/>
        </w:numPr>
        <w:spacing w:line="276" w:lineRule="auto"/>
        <w:jc w:val="both"/>
      </w:pPr>
      <w:r>
        <w:t>StopPlace kan andere StopPlace aangeven als parentSite. Monomodale kunnen gekoppeld worden aan een gener</w:t>
      </w:r>
      <w:r>
        <w:t xml:space="preserve">al parent. Eén kan verheven worden als dit de belangrijkste is. Bv. centraal station Brussel die hoofdzakelijk StopPlace is voor treinen. </w:t>
      </w:r>
    </w:p>
    <w:p w:rsidR="002863BF" w:rsidRDefault="00D62CE0">
      <w:pPr>
        <w:numPr>
          <w:ilvl w:val="2"/>
          <w:numId w:val="1"/>
        </w:numPr>
        <w:spacing w:line="276" w:lineRule="auto"/>
        <w:jc w:val="both"/>
      </w:pPr>
      <w:r>
        <w:t xml:space="preserve">Moet ook niet fysiek zelfde gebouw zijn maar site in het algemeen waarbij alles op wandelafstand is. 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>Datamodellering</w:t>
      </w:r>
      <w:r>
        <w:t xml:space="preserve"> != Data-inwinning. Constraint van NeTex reeds toegepast: functioneel slechts drie niveaus mogelijk. 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>multimodaal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>monomodaal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>structureel</w:t>
      </w:r>
    </w:p>
    <w:p w:rsidR="002863BF" w:rsidRDefault="00D62CE0">
      <w:pPr>
        <w:numPr>
          <w:ilvl w:val="2"/>
          <w:numId w:val="1"/>
        </w:numPr>
        <w:spacing w:after="0" w:line="276" w:lineRule="auto"/>
        <w:jc w:val="both"/>
      </w:pPr>
      <w:r>
        <w:t xml:space="preserve">Kan wel nog gecombineerd worden in GroupOfStopPlaces. Laat toe om bv. alle metrohaltes in groep te zetten. </w:t>
      </w:r>
    </w:p>
    <w:p w:rsidR="002863BF" w:rsidRDefault="00D62CE0">
      <w:pPr>
        <w:numPr>
          <w:ilvl w:val="2"/>
          <w:numId w:val="1"/>
        </w:numPr>
        <w:spacing w:after="0" w:line="276" w:lineRule="auto"/>
        <w:jc w:val="both"/>
      </w:pPr>
      <w:r>
        <w:t>Komt wel ov</w:t>
      </w:r>
      <w:r>
        <w:t xml:space="preserve">ereen met hoe het momenteel intern gebeurt. 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>Mogelijk vervolgtraject kan oplossing bieden voor chaotische inwinning van data voor StopPlaces.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>Europa zal waarschijnlijk op den duur verplichten om te komen tot uniformisering van StopPlaatsen, ook initiatieve</w:t>
      </w:r>
      <w:r>
        <w:t>n vanuit Vlaanderen mogelijk.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 xml:space="preserve">OSLO kan dit faciliteren. 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 xml:space="preserve">Verschillende klassen te koppelen aan StopPlaces zoals perrons, StopPlaceEntrance, etc. 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>Zaken die gekoppeld kunnen worden aan StopPlaces: toegankelijkheid, POIs,...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 xml:space="preserve">Toegankelijkheid kan/moet opgesplitst worden voor verschillende beperkingen via attributen toegankelijkheidstype en klasse toegankelijkheidsonderdeel. </w:t>
      </w:r>
    </w:p>
    <w:p w:rsidR="002863BF" w:rsidRDefault="00D62CE0">
      <w:pPr>
        <w:numPr>
          <w:ilvl w:val="1"/>
          <w:numId w:val="1"/>
        </w:numPr>
        <w:spacing w:after="0" w:line="276" w:lineRule="auto"/>
        <w:jc w:val="both"/>
      </w:pPr>
      <w:r>
        <w:t xml:space="preserve">Momenteel slaat toegankelijkheid niet op een ingang bij stakeholders. </w:t>
      </w:r>
    </w:p>
    <w:p w:rsidR="002863BF" w:rsidRDefault="00D62CE0">
      <w:pPr>
        <w:numPr>
          <w:ilvl w:val="0"/>
          <w:numId w:val="1"/>
        </w:numPr>
        <w:spacing w:after="0" w:line="276" w:lineRule="auto"/>
        <w:jc w:val="both"/>
      </w:pPr>
      <w:r>
        <w:t xml:space="preserve">Flexibiliteit is mogelijk dus er </w:t>
      </w:r>
      <w:r>
        <w:t xml:space="preserve">is baat bij om afspraken te maken tussen verschillende OV’s/Stakeholders. </w:t>
      </w:r>
    </w:p>
    <w:p w:rsidR="002863BF" w:rsidRDefault="00D62CE0">
      <w:pPr>
        <w:numPr>
          <w:ilvl w:val="0"/>
          <w:numId w:val="1"/>
        </w:numPr>
        <w:spacing w:line="276" w:lineRule="auto"/>
        <w:jc w:val="both"/>
      </w:pPr>
      <w:r>
        <w:t xml:space="preserve">StopPlaceEntrance (woord geleend uit NeTEx) kan verwarrend zijn. Wordt exit via Boolean. </w:t>
      </w:r>
    </w:p>
    <w:p w:rsidR="002863BF" w:rsidRDefault="002863BF">
      <w:pPr>
        <w:spacing w:line="276" w:lineRule="auto"/>
      </w:pPr>
    </w:p>
    <w:p w:rsidR="002863BF" w:rsidRDefault="00D62CE0">
      <w:pPr>
        <w:spacing w:line="276" w:lineRule="auto"/>
        <w:rPr>
          <w:b/>
        </w:rPr>
      </w:pPr>
      <w:r>
        <w:rPr>
          <w:b/>
        </w:rPr>
        <w:lastRenderedPageBreak/>
        <w:t>Verdere uitlichting profiel</w:t>
      </w:r>
    </w:p>
    <w:p w:rsidR="002863BF" w:rsidRDefault="00D62CE0">
      <w:pPr>
        <w:numPr>
          <w:ilvl w:val="0"/>
          <w:numId w:val="3"/>
        </w:numPr>
        <w:spacing w:after="0" w:line="276" w:lineRule="auto"/>
        <w:jc w:val="both"/>
      </w:pPr>
      <w:r>
        <w:t>Meerdere ScheduledStopPoints kunnen gekoppeld worden aan één S</w:t>
      </w:r>
      <w:r>
        <w:t xml:space="preserve">topPlace en vice versa. </w:t>
      </w:r>
    </w:p>
    <w:p w:rsidR="002863BF" w:rsidRDefault="00D62CE0">
      <w:pPr>
        <w:numPr>
          <w:ilvl w:val="0"/>
          <w:numId w:val="3"/>
        </w:numPr>
        <w:spacing w:after="0" w:line="276" w:lineRule="auto"/>
        <w:jc w:val="both"/>
      </w:pPr>
      <w:r>
        <w:t xml:space="preserve">Gebruik OSLO adres-definitie om onduidelijkheid te vermijden. </w:t>
      </w:r>
    </w:p>
    <w:p w:rsidR="002863BF" w:rsidRDefault="00D62CE0">
      <w:pPr>
        <w:numPr>
          <w:ilvl w:val="0"/>
          <w:numId w:val="3"/>
        </w:numPr>
        <w:spacing w:after="0" w:line="276" w:lineRule="auto"/>
        <w:jc w:val="both"/>
      </w:pPr>
      <w:r>
        <w:rPr>
          <w:b/>
        </w:rPr>
        <w:t>Meerdere Taalstrings</w:t>
      </w:r>
      <w:r>
        <w:t xml:space="preserve"> kunnen voorzien worden om te voldoen aan de taalwetgeving. Is vastgelegd in OSLO. </w:t>
      </w:r>
    </w:p>
    <w:p w:rsidR="002863BF" w:rsidRDefault="00D62CE0">
      <w:pPr>
        <w:numPr>
          <w:ilvl w:val="1"/>
          <w:numId w:val="3"/>
        </w:numPr>
        <w:spacing w:after="0" w:line="276" w:lineRule="auto"/>
        <w:jc w:val="both"/>
      </w:pPr>
      <w:r>
        <w:t>Voorkeurtaal moet gehaald worden bij bijvoorbeeld gemeentelijk n</w:t>
      </w:r>
      <w:r>
        <w:t xml:space="preserve">iveau. (bv. lijst NIS). </w:t>
      </w:r>
    </w:p>
    <w:p w:rsidR="002863BF" w:rsidRDefault="00D62CE0">
      <w:pPr>
        <w:numPr>
          <w:ilvl w:val="0"/>
          <w:numId w:val="3"/>
        </w:numPr>
        <w:spacing w:after="0" w:line="276" w:lineRule="auto"/>
        <w:jc w:val="both"/>
      </w:pPr>
      <w:r>
        <w:t xml:space="preserve">Sites kunnen ook met elkaar worden geconnecteerd. Bv. stations die dicht bij elkaar liggen. </w:t>
      </w:r>
    </w:p>
    <w:p w:rsidR="002863BF" w:rsidRDefault="00D62CE0">
      <w:pPr>
        <w:numPr>
          <w:ilvl w:val="0"/>
          <w:numId w:val="3"/>
        </w:numPr>
        <w:spacing w:after="0" w:line="276" w:lineRule="auto"/>
        <w:jc w:val="both"/>
      </w:pPr>
      <w:r>
        <w:t xml:space="preserve">Aansluitingen moeten expliciet gemaakt worden via Interchanges. </w:t>
      </w:r>
    </w:p>
    <w:p w:rsidR="002863BF" w:rsidRDefault="00D62CE0">
      <w:pPr>
        <w:numPr>
          <w:ilvl w:val="1"/>
          <w:numId w:val="3"/>
        </w:numPr>
        <w:spacing w:after="0" w:line="276" w:lineRule="auto"/>
        <w:jc w:val="both"/>
      </w:pPr>
      <w:r>
        <w:t>Meer koppeling dienstregeling momenteel in plaats koppeling locatie waarb</w:t>
      </w:r>
      <w:r>
        <w:t xml:space="preserve">ij dienstregeleing ook effectief is aangepast. Maar gaat breder: kan impliciete of expliciete connectie gemaakt worden. Daar kan bijvoorbeeld wandeltijd gezet worden tussen punt A en B. </w:t>
      </w:r>
    </w:p>
    <w:p w:rsidR="002863BF" w:rsidRDefault="00D62CE0" w:rsidP="00114CB8">
      <w:pPr>
        <w:numPr>
          <w:ilvl w:val="2"/>
          <w:numId w:val="3"/>
        </w:numPr>
        <w:spacing w:line="276" w:lineRule="auto"/>
        <w:jc w:val="both"/>
      </w:pPr>
      <w:r>
        <w:t xml:space="preserve">Hiervoor eventueel </w:t>
      </w:r>
      <w:r>
        <w:rPr>
          <w:b/>
        </w:rPr>
        <w:t>voorbeelden voor volgende sessie</w:t>
      </w:r>
      <w:r>
        <w:t xml:space="preserve">. </w:t>
      </w:r>
    </w:p>
    <w:p w:rsidR="002863BF" w:rsidRDefault="00D62C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>Q&amp;A - Aandachtspunten voor volgende werkgroep</w:t>
      </w:r>
    </w:p>
    <w:p w:rsidR="002863BF" w:rsidRDefault="00D62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GitHub meertaligheid, switchen van taal in browser. </w:t>
      </w:r>
    </w:p>
    <w:p w:rsidR="002863BF" w:rsidRDefault="00D62CE0">
      <w:pPr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Volgende stappen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Indien u graag zou willen deelnemen aan één van de volgende thematische werkgroepen, kan u via de onderstaande link een overzicht vinden van</w:t>
      </w:r>
      <w:r>
        <w:rPr>
          <w:rFonts w:ascii="FlandersArtSans-Regular" w:eastAsia="FlandersArtSans-Regular" w:hAnsi="FlandersArtSans-Regular" w:cs="FlandersArtSans-Regular"/>
        </w:rPr>
        <w:t xml:space="preserve"> de workshops en u ook zo inschrijven. De eerstvolgende thematische werkgroep zal plaatsvinden op </w:t>
      </w:r>
      <w:r w:rsidR="00114CB8">
        <w:rPr>
          <w:rFonts w:ascii="FlandersArtSans-Regular" w:eastAsia="FlandersArtSans-Regular" w:hAnsi="FlandersArtSans-Regular" w:cs="FlandersArtSans-Regular"/>
        </w:rPr>
        <w:t>22/04</w:t>
      </w:r>
      <w:r>
        <w:rPr>
          <w:rFonts w:ascii="FlandersArtSans-Regular" w:eastAsia="FlandersArtSans-Regular" w:hAnsi="FlandersArtSans-Regular" w:cs="FlandersArtSans-Regular"/>
        </w:rPr>
        <w:t xml:space="preserve"> mei om 13u via Microsoft Teams waarvan de link wordt opgestuurd naar de deelnemers. 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hyperlink r:id="rId7"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https://overheid.vlaanderen.be/opleiding/oslo-mobiliteit-dienstregeling-en-planning</w:t>
        </w:r>
      </w:hyperlink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Wanneer u in tussentijd met vragen zit of een probleem opmerkt kan u al</w:t>
      </w:r>
      <w:r>
        <w:rPr>
          <w:rFonts w:ascii="FlandersArtSans-Regular" w:eastAsia="FlandersArtSans-Regular" w:hAnsi="FlandersArtSans-Regular" w:cs="FlandersArtSans-Regular"/>
        </w:rPr>
        <w:t>tijd een issue openen op Github of een mail sturen naar de onderstaande e-mailadressen.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  <w:color w:val="0563C1"/>
          <w:u w:val="single"/>
        </w:rPr>
      </w:pPr>
      <w:hyperlink r:id="rId8"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https://github.com/Informatievlaanderen/OSLOthema-mobilit</w:t>
        </w:r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eitDienstregelingEnPlanning/issues</w:t>
        </w:r>
      </w:hyperlink>
      <w:r>
        <w:rPr>
          <w:rFonts w:ascii="FlandersArtSans-Regular" w:eastAsia="FlandersArtSans-Regular" w:hAnsi="FlandersArtSans-Regular" w:cs="FlandersArtSans-Regular"/>
          <w:color w:val="0563C1"/>
          <w:u w:val="single"/>
        </w:rPr>
        <w:t xml:space="preserve">  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hyperlink r:id="rId9"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dimitri.schepers@vlaanderen.be</w:t>
        </w:r>
      </w:hyperlink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hyperlink r:id="rId10"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tim.coninx@delijn.be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 </w:t>
      </w:r>
    </w:p>
    <w:p w:rsidR="002863BF" w:rsidRDefault="00D62CE0">
      <w:pPr>
        <w:jc w:val="both"/>
        <w:rPr>
          <w:rFonts w:ascii="FlandersArtSans-Regular" w:eastAsia="FlandersArtSans-Regular" w:hAnsi="FlandersArtSans-Regular" w:cs="FlandersArtSans-Regular"/>
        </w:rPr>
      </w:pPr>
      <w:hyperlink r:id="rId11"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pieter.col</w:t>
        </w:r>
        <w:r>
          <w:rPr>
            <w:rFonts w:ascii="FlandersArtSans-Regular" w:eastAsia="FlandersArtSans-Regular" w:hAnsi="FlandersArtSans-Regular" w:cs="FlandersArtSans-Regular"/>
            <w:color w:val="0563C1"/>
            <w:u w:val="single"/>
          </w:rPr>
          <w:t>paert@ugent.be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  </w:t>
      </w:r>
    </w:p>
    <w:p w:rsidR="002863BF" w:rsidRDefault="002863BF"/>
    <w:sectPr w:rsidR="002863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landersArtSans-Regular">
    <w:altName w:val="Calibri"/>
    <w:charset w:val="00"/>
    <w:family w:val="auto"/>
    <w:pitch w:val="variable"/>
    <w:sig w:usb0="00000007" w:usb1="00000000" w:usb2="00000000" w:usb3="00000000" w:csb0="00000093" w:csb1="00000000"/>
  </w:font>
  <w:font w:name="FlandersArtSans-Medium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3F"/>
    <w:multiLevelType w:val="multilevel"/>
    <w:tmpl w:val="4EE8A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C4907"/>
    <w:multiLevelType w:val="multilevel"/>
    <w:tmpl w:val="9C0E5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50EC4"/>
    <w:multiLevelType w:val="multilevel"/>
    <w:tmpl w:val="5FE2D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C97C5A"/>
    <w:multiLevelType w:val="multilevel"/>
    <w:tmpl w:val="97983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BF"/>
    <w:rsid w:val="00114CB8"/>
    <w:rsid w:val="002863BF"/>
    <w:rsid w:val="00D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CAE5"/>
  <w15:docId w15:val="{012C0DBB-80D2-4AB6-B1A3-2EFCD626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B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15CF"/>
    <w:pPr>
      <w:ind w:left="720"/>
      <w:contextualSpacing/>
    </w:pPr>
  </w:style>
  <w:style w:type="table" w:styleId="TableGrid">
    <w:name w:val="Table Grid"/>
    <w:basedOn w:val="TableNormal"/>
    <w:uiPriority w:val="59"/>
    <w:rsid w:val="009415CF"/>
    <w:pPr>
      <w:spacing w:after="0" w:line="240" w:lineRule="auto"/>
    </w:pPr>
    <w:rPr>
      <w:lang w:val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76CA2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evlaanderen/OSLOthema-mobiliteitDienstregelingEnPlanning/issu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verheid.vlaanderen.be/opleiding/oslo-mobiliteit-dienstregeling-en-plann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ieter.colpaert@ugent.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im.coninx@delijn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mitri.schepers@vlaander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LMgVDL+PT+62pVRvgm8Tl03mvA==">AMUW2mUitiYs6XPO3x15x0zxmP6Imoo2LvdJQnlDdVrw+WwZftH5f6LgguAKQ9goVlKBpiFJCcF9VciC6Pmcr4fULBcPysYWvhCb0owaAhyRJ4/pHND2Lc1pV4PxYAJGUqG0XnM8GdQh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724</Words>
  <Characters>4132</Characters>
  <Application>Microsoft Office Word</Application>
  <DocSecurity>0</DocSecurity>
  <Lines>34</Lines>
  <Paragraphs>9</Paragraphs>
  <ScaleCrop>false</ScaleCrop>
  <Company>PricewaterhouseCoopers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Geamanu (BE)</dc:creator>
  <cp:lastModifiedBy>Michael Geamanu (BE)</cp:lastModifiedBy>
  <cp:revision>3</cp:revision>
  <dcterms:created xsi:type="dcterms:W3CDTF">2021-04-30T08:14:00Z</dcterms:created>
  <dcterms:modified xsi:type="dcterms:W3CDTF">2021-05-12T13:31:00Z</dcterms:modified>
</cp:coreProperties>
</file>