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07BB32" w14:textId="77777777" w:rsidR="007977E3" w:rsidRDefault="007977E3">
      <w:pPr>
        <w:pStyle w:val="Title"/>
        <w:rPr>
          <w:lang w:val="nl-BE"/>
        </w:rPr>
      </w:pPr>
    </w:p>
    <w:p w14:paraId="0DA545A8" w14:textId="77777777" w:rsidR="007977E3" w:rsidRDefault="007977E3">
      <w:pPr>
        <w:pStyle w:val="Title"/>
        <w:rPr>
          <w:lang w:val="nl-BE"/>
        </w:rPr>
      </w:pPr>
    </w:p>
    <w:p w14:paraId="186E055E" w14:textId="77777777" w:rsidR="007977E3" w:rsidRDefault="007977E3">
      <w:pPr>
        <w:pStyle w:val="Title"/>
        <w:rPr>
          <w:lang w:val="nl-BE"/>
        </w:rPr>
      </w:pPr>
    </w:p>
    <w:p w14:paraId="4FD097A0" w14:textId="77777777" w:rsidR="007977E3" w:rsidRDefault="00D57CD8">
      <w:pPr>
        <w:pStyle w:val="Title"/>
        <w:rPr>
          <w:lang w:val="nl-BE"/>
        </w:rPr>
      </w:pPr>
      <w:r>
        <w:rPr>
          <w:lang w:val="nl-BE"/>
        </w:rPr>
        <w:t>Vlaamse overheid</w:t>
      </w:r>
    </w:p>
    <w:p w14:paraId="1055C2F9" w14:textId="77777777" w:rsidR="007977E3" w:rsidRDefault="007977E3">
      <w:pPr>
        <w:rPr>
          <w:lang w:val="nl-BE"/>
        </w:rPr>
      </w:pPr>
    </w:p>
    <w:p w14:paraId="452588DF" w14:textId="77777777" w:rsidR="007977E3" w:rsidRDefault="007977E3">
      <w:pPr>
        <w:rPr>
          <w:lang w:val="nl-BE"/>
        </w:rPr>
      </w:pPr>
    </w:p>
    <w:p w14:paraId="4C00B89D" w14:textId="77777777" w:rsidR="007977E3" w:rsidRDefault="00D57CD8">
      <w:pPr>
        <w:pStyle w:val="Title"/>
        <w:rPr>
          <w:lang w:val="nl-BE"/>
        </w:rPr>
      </w:pPr>
      <w:r>
        <w:rPr>
          <w:lang w:val="nl-BE"/>
        </w:rPr>
        <w:t xml:space="preserve">Open Standaarden voor Linkende Organisaties (OSLO) </w:t>
      </w:r>
    </w:p>
    <w:p w14:paraId="52B74490" w14:textId="77777777" w:rsidR="007977E3" w:rsidRDefault="007977E3">
      <w:pPr>
        <w:pStyle w:val="Title"/>
        <w:rPr>
          <w:lang w:val="nl-BE"/>
        </w:rPr>
      </w:pPr>
    </w:p>
    <w:p w14:paraId="5BCE26DF" w14:textId="77777777" w:rsidR="007977E3" w:rsidRDefault="00D57CD8">
      <w:pPr>
        <w:pStyle w:val="Title"/>
      </w:pPr>
      <w:r>
        <w:rPr>
          <w:lang w:val="nl-BE"/>
        </w:rPr>
        <w:t>Conformiteitsverklaring</w:t>
      </w:r>
    </w:p>
    <w:p w14:paraId="0EB61BB2" w14:textId="77777777" w:rsidR="007977E3" w:rsidRDefault="00D57CD8">
      <w:pPr>
        <w:rPr>
          <w:lang w:val="nl-BE"/>
        </w:rPr>
      </w:pPr>
      <w:r>
        <w:br w:type="page"/>
      </w:r>
    </w:p>
    <w:p w14:paraId="7B51379A" w14:textId="77777777" w:rsidR="007977E3" w:rsidRDefault="007977E3">
      <w:pPr>
        <w:rPr>
          <w:rFonts w:ascii="Calibri" w:eastAsia="Calibri" w:hAnsi="Calibri" w:cs="Calibri"/>
          <w:lang w:val="nl-BE"/>
        </w:rPr>
      </w:pPr>
    </w:p>
    <w:bookmarkStart w:id="0" w:name="_Toc56602454" w:displacedByCustomXml="next"/>
    <w:sdt>
      <w:sdtPr>
        <w:rPr>
          <w:rFonts w:asciiTheme="minorHAnsi" w:eastAsiaTheme="minorHAnsi" w:hAnsiTheme="minorHAnsi" w:cstheme="minorBidi"/>
          <w:color w:val="auto"/>
          <w:sz w:val="22"/>
          <w:szCs w:val="22"/>
        </w:rPr>
        <w:id w:val="-1498185023"/>
        <w:docPartObj>
          <w:docPartGallery w:val="Table of Contents"/>
          <w:docPartUnique/>
        </w:docPartObj>
      </w:sdtPr>
      <w:sdtEndPr/>
      <w:sdtContent>
        <w:p w14:paraId="75CF1B22" w14:textId="77777777" w:rsidR="007977E3" w:rsidRDefault="00D57CD8">
          <w:pPr>
            <w:pStyle w:val="TOCHeading"/>
          </w:pPr>
          <w:r>
            <w:t>Inhoudstafel</w:t>
          </w:r>
          <w:bookmarkStart w:id="1" w:name="_GoBack"/>
          <w:bookmarkEnd w:id="0"/>
          <w:bookmarkEnd w:id="1"/>
        </w:p>
        <w:p w14:paraId="501BC705" w14:textId="561E3186" w:rsidR="00936A91" w:rsidRDefault="00D57CD8">
          <w:pPr>
            <w:pStyle w:val="TOC1"/>
            <w:tabs>
              <w:tab w:val="right" w:leader="dot" w:pos="9350"/>
            </w:tabs>
            <w:rPr>
              <w:rFonts w:eastAsiaTheme="minorEastAsia"/>
              <w:noProof/>
              <w:lang w:val="nl-BE" w:eastAsia="nl-BE"/>
            </w:rPr>
          </w:pPr>
          <w:r>
            <w:fldChar w:fldCharType="begin"/>
          </w:r>
          <w:r>
            <w:rPr>
              <w:rStyle w:val="Indexkoppeling"/>
              <w:webHidden/>
            </w:rPr>
            <w:instrText>TOC \z \o "1-3" \u \h</w:instrText>
          </w:r>
          <w:r>
            <w:rPr>
              <w:rStyle w:val="Indexkoppeling"/>
            </w:rPr>
            <w:fldChar w:fldCharType="separate"/>
          </w:r>
          <w:hyperlink w:anchor="_Toc56602454" w:history="1">
            <w:r w:rsidR="00936A91" w:rsidRPr="005031D3">
              <w:rPr>
                <w:rStyle w:val="Hyperlink"/>
                <w:noProof/>
              </w:rPr>
              <w:t>Inhoudstafel</w:t>
            </w:r>
            <w:r w:rsidR="00936A91">
              <w:rPr>
                <w:noProof/>
                <w:webHidden/>
              </w:rPr>
              <w:tab/>
            </w:r>
            <w:r w:rsidR="00936A91">
              <w:rPr>
                <w:noProof/>
                <w:webHidden/>
              </w:rPr>
              <w:fldChar w:fldCharType="begin"/>
            </w:r>
            <w:r w:rsidR="00936A91">
              <w:rPr>
                <w:noProof/>
                <w:webHidden/>
              </w:rPr>
              <w:instrText xml:space="preserve"> PAGEREF _Toc56602454 \h </w:instrText>
            </w:r>
            <w:r w:rsidR="00936A91">
              <w:rPr>
                <w:noProof/>
                <w:webHidden/>
              </w:rPr>
            </w:r>
            <w:r w:rsidR="00936A91">
              <w:rPr>
                <w:noProof/>
                <w:webHidden/>
              </w:rPr>
              <w:fldChar w:fldCharType="separate"/>
            </w:r>
            <w:r w:rsidR="00172264">
              <w:rPr>
                <w:noProof/>
                <w:webHidden/>
              </w:rPr>
              <w:t>2</w:t>
            </w:r>
            <w:r w:rsidR="00936A91">
              <w:rPr>
                <w:noProof/>
                <w:webHidden/>
              </w:rPr>
              <w:fldChar w:fldCharType="end"/>
            </w:r>
          </w:hyperlink>
        </w:p>
        <w:p w14:paraId="54AEFA3C" w14:textId="4B01A311" w:rsidR="00936A91" w:rsidRDefault="00936A91">
          <w:pPr>
            <w:pStyle w:val="TOC1"/>
            <w:tabs>
              <w:tab w:val="right" w:leader="dot" w:pos="9350"/>
            </w:tabs>
            <w:rPr>
              <w:rFonts w:eastAsiaTheme="minorEastAsia"/>
              <w:noProof/>
              <w:lang w:val="nl-BE" w:eastAsia="nl-BE"/>
            </w:rPr>
          </w:pPr>
          <w:hyperlink w:anchor="_Toc56602455" w:history="1">
            <w:r w:rsidRPr="005031D3">
              <w:rPr>
                <w:rStyle w:val="Hyperlink"/>
                <w:noProof/>
                <w:lang w:val="nl-NL"/>
              </w:rPr>
              <w:t>Inleiding</w:t>
            </w:r>
            <w:r>
              <w:rPr>
                <w:noProof/>
                <w:webHidden/>
              </w:rPr>
              <w:tab/>
            </w:r>
            <w:r>
              <w:rPr>
                <w:noProof/>
                <w:webHidden/>
              </w:rPr>
              <w:fldChar w:fldCharType="begin"/>
            </w:r>
            <w:r>
              <w:rPr>
                <w:noProof/>
                <w:webHidden/>
              </w:rPr>
              <w:instrText xml:space="preserve"> PAGEREF _Toc56602455 \h </w:instrText>
            </w:r>
            <w:r>
              <w:rPr>
                <w:noProof/>
                <w:webHidden/>
              </w:rPr>
            </w:r>
            <w:r>
              <w:rPr>
                <w:noProof/>
                <w:webHidden/>
              </w:rPr>
              <w:fldChar w:fldCharType="separate"/>
            </w:r>
            <w:r w:rsidR="00172264">
              <w:rPr>
                <w:noProof/>
                <w:webHidden/>
              </w:rPr>
              <w:t>3</w:t>
            </w:r>
            <w:r>
              <w:rPr>
                <w:noProof/>
                <w:webHidden/>
              </w:rPr>
              <w:fldChar w:fldCharType="end"/>
            </w:r>
          </w:hyperlink>
        </w:p>
        <w:p w14:paraId="57C2AD75" w14:textId="6E723F3F" w:rsidR="00936A91" w:rsidRDefault="00936A91">
          <w:pPr>
            <w:pStyle w:val="TOC2"/>
            <w:tabs>
              <w:tab w:val="right" w:leader="dot" w:pos="9350"/>
            </w:tabs>
            <w:rPr>
              <w:rFonts w:eastAsiaTheme="minorEastAsia"/>
              <w:noProof/>
              <w:lang w:val="nl-BE" w:eastAsia="nl-BE"/>
            </w:rPr>
          </w:pPr>
          <w:hyperlink w:anchor="_Toc56602456" w:history="1">
            <w:r w:rsidRPr="005031D3">
              <w:rPr>
                <w:rStyle w:val="Hyperlink"/>
                <w:noProof/>
                <w:lang w:val="nl-NL"/>
              </w:rPr>
              <w:t>Context</w:t>
            </w:r>
            <w:r>
              <w:rPr>
                <w:noProof/>
                <w:webHidden/>
              </w:rPr>
              <w:tab/>
            </w:r>
            <w:r>
              <w:rPr>
                <w:noProof/>
                <w:webHidden/>
              </w:rPr>
              <w:fldChar w:fldCharType="begin"/>
            </w:r>
            <w:r>
              <w:rPr>
                <w:noProof/>
                <w:webHidden/>
              </w:rPr>
              <w:instrText xml:space="preserve"> PAGEREF _Toc56602456 \h </w:instrText>
            </w:r>
            <w:r>
              <w:rPr>
                <w:noProof/>
                <w:webHidden/>
              </w:rPr>
            </w:r>
            <w:r>
              <w:rPr>
                <w:noProof/>
                <w:webHidden/>
              </w:rPr>
              <w:fldChar w:fldCharType="separate"/>
            </w:r>
            <w:r w:rsidR="00172264">
              <w:rPr>
                <w:noProof/>
                <w:webHidden/>
              </w:rPr>
              <w:t>3</w:t>
            </w:r>
            <w:r>
              <w:rPr>
                <w:noProof/>
                <w:webHidden/>
              </w:rPr>
              <w:fldChar w:fldCharType="end"/>
            </w:r>
          </w:hyperlink>
        </w:p>
        <w:p w14:paraId="62853D4A" w14:textId="53C17B50" w:rsidR="00936A91" w:rsidRDefault="00936A91">
          <w:pPr>
            <w:pStyle w:val="TOC2"/>
            <w:tabs>
              <w:tab w:val="right" w:leader="dot" w:pos="9350"/>
            </w:tabs>
            <w:rPr>
              <w:rFonts w:eastAsiaTheme="minorEastAsia"/>
              <w:noProof/>
              <w:lang w:val="nl-BE" w:eastAsia="nl-BE"/>
            </w:rPr>
          </w:pPr>
          <w:hyperlink w:anchor="_Toc56602457" w:history="1">
            <w:r w:rsidRPr="005031D3">
              <w:rPr>
                <w:rStyle w:val="Hyperlink"/>
                <w:noProof/>
                <w:lang w:val="nl-NL"/>
              </w:rPr>
              <w:t>Doel van dit document</w:t>
            </w:r>
            <w:r>
              <w:rPr>
                <w:noProof/>
                <w:webHidden/>
              </w:rPr>
              <w:tab/>
            </w:r>
            <w:r>
              <w:rPr>
                <w:noProof/>
                <w:webHidden/>
              </w:rPr>
              <w:fldChar w:fldCharType="begin"/>
            </w:r>
            <w:r>
              <w:rPr>
                <w:noProof/>
                <w:webHidden/>
              </w:rPr>
              <w:instrText xml:space="preserve"> PAGEREF _Toc56602457 \h </w:instrText>
            </w:r>
            <w:r>
              <w:rPr>
                <w:noProof/>
                <w:webHidden/>
              </w:rPr>
            </w:r>
            <w:r>
              <w:rPr>
                <w:noProof/>
                <w:webHidden/>
              </w:rPr>
              <w:fldChar w:fldCharType="separate"/>
            </w:r>
            <w:r w:rsidR="00172264">
              <w:rPr>
                <w:noProof/>
                <w:webHidden/>
              </w:rPr>
              <w:t>3</w:t>
            </w:r>
            <w:r>
              <w:rPr>
                <w:noProof/>
                <w:webHidden/>
              </w:rPr>
              <w:fldChar w:fldCharType="end"/>
            </w:r>
          </w:hyperlink>
        </w:p>
        <w:p w14:paraId="2C8D2D48" w14:textId="06C531A6" w:rsidR="00936A91" w:rsidRDefault="00936A91">
          <w:pPr>
            <w:pStyle w:val="TOC1"/>
            <w:tabs>
              <w:tab w:val="right" w:leader="dot" w:pos="9350"/>
            </w:tabs>
            <w:rPr>
              <w:rFonts w:eastAsiaTheme="minorEastAsia"/>
              <w:noProof/>
              <w:lang w:val="nl-BE" w:eastAsia="nl-BE"/>
            </w:rPr>
          </w:pPr>
          <w:hyperlink w:anchor="_Toc56602458" w:history="1">
            <w:r w:rsidRPr="005031D3">
              <w:rPr>
                <w:rStyle w:val="Hyperlink"/>
                <w:noProof/>
                <w:lang w:val="nl-NL"/>
              </w:rPr>
              <w:t>Verklaring – documentatie en motivatie van de afwijking</w:t>
            </w:r>
            <w:r>
              <w:rPr>
                <w:noProof/>
                <w:webHidden/>
              </w:rPr>
              <w:tab/>
            </w:r>
            <w:r>
              <w:rPr>
                <w:noProof/>
                <w:webHidden/>
              </w:rPr>
              <w:fldChar w:fldCharType="begin"/>
            </w:r>
            <w:r>
              <w:rPr>
                <w:noProof/>
                <w:webHidden/>
              </w:rPr>
              <w:instrText xml:space="preserve"> PAGEREF _Toc56602458 \h </w:instrText>
            </w:r>
            <w:r>
              <w:rPr>
                <w:noProof/>
                <w:webHidden/>
              </w:rPr>
            </w:r>
            <w:r>
              <w:rPr>
                <w:noProof/>
                <w:webHidden/>
              </w:rPr>
              <w:fldChar w:fldCharType="separate"/>
            </w:r>
            <w:r w:rsidR="00172264">
              <w:rPr>
                <w:noProof/>
                <w:webHidden/>
              </w:rPr>
              <w:t>5</w:t>
            </w:r>
            <w:r>
              <w:rPr>
                <w:noProof/>
                <w:webHidden/>
              </w:rPr>
              <w:fldChar w:fldCharType="end"/>
            </w:r>
          </w:hyperlink>
        </w:p>
        <w:p w14:paraId="3F0EDE20" w14:textId="009B0AB8" w:rsidR="00936A91" w:rsidRDefault="00936A91">
          <w:pPr>
            <w:pStyle w:val="TOC2"/>
            <w:tabs>
              <w:tab w:val="right" w:leader="dot" w:pos="9350"/>
            </w:tabs>
            <w:rPr>
              <w:rFonts w:eastAsiaTheme="minorEastAsia"/>
              <w:noProof/>
              <w:lang w:val="nl-BE" w:eastAsia="nl-BE"/>
            </w:rPr>
          </w:pPr>
          <w:hyperlink w:anchor="_Toc56602459" w:history="1">
            <w:r w:rsidRPr="005031D3">
              <w:rPr>
                <w:rStyle w:val="Hyperlink"/>
                <w:noProof/>
                <w:lang w:val="nl-NL"/>
              </w:rPr>
              <w:t>Algemene toelichting</w:t>
            </w:r>
            <w:r>
              <w:rPr>
                <w:noProof/>
                <w:webHidden/>
              </w:rPr>
              <w:tab/>
            </w:r>
            <w:r>
              <w:rPr>
                <w:noProof/>
                <w:webHidden/>
              </w:rPr>
              <w:fldChar w:fldCharType="begin"/>
            </w:r>
            <w:r>
              <w:rPr>
                <w:noProof/>
                <w:webHidden/>
              </w:rPr>
              <w:instrText xml:space="preserve"> PAGEREF _Toc56602459 \h </w:instrText>
            </w:r>
            <w:r>
              <w:rPr>
                <w:noProof/>
                <w:webHidden/>
              </w:rPr>
            </w:r>
            <w:r>
              <w:rPr>
                <w:noProof/>
                <w:webHidden/>
              </w:rPr>
              <w:fldChar w:fldCharType="separate"/>
            </w:r>
            <w:r w:rsidR="00172264">
              <w:rPr>
                <w:noProof/>
                <w:webHidden/>
              </w:rPr>
              <w:t>5</w:t>
            </w:r>
            <w:r>
              <w:rPr>
                <w:noProof/>
                <w:webHidden/>
              </w:rPr>
              <w:fldChar w:fldCharType="end"/>
            </w:r>
          </w:hyperlink>
        </w:p>
        <w:p w14:paraId="386C4997" w14:textId="5B046EE6" w:rsidR="00936A91" w:rsidRDefault="00936A91">
          <w:pPr>
            <w:pStyle w:val="TOC2"/>
            <w:tabs>
              <w:tab w:val="right" w:leader="dot" w:pos="9350"/>
            </w:tabs>
            <w:rPr>
              <w:rFonts w:eastAsiaTheme="minorEastAsia"/>
              <w:noProof/>
              <w:lang w:val="nl-BE" w:eastAsia="nl-BE"/>
            </w:rPr>
          </w:pPr>
          <w:hyperlink w:anchor="_Toc56602460" w:history="1">
            <w:r w:rsidRPr="005031D3">
              <w:rPr>
                <w:rStyle w:val="Hyperlink"/>
                <w:noProof/>
                <w:lang w:val="nl-NL"/>
              </w:rPr>
              <w:t>Gedetailleerde beschrijving</w:t>
            </w:r>
            <w:r>
              <w:rPr>
                <w:noProof/>
                <w:webHidden/>
              </w:rPr>
              <w:tab/>
            </w:r>
            <w:r>
              <w:rPr>
                <w:noProof/>
                <w:webHidden/>
              </w:rPr>
              <w:fldChar w:fldCharType="begin"/>
            </w:r>
            <w:r>
              <w:rPr>
                <w:noProof/>
                <w:webHidden/>
              </w:rPr>
              <w:instrText xml:space="preserve"> PAGEREF _Toc56602460 \h </w:instrText>
            </w:r>
            <w:r>
              <w:rPr>
                <w:noProof/>
                <w:webHidden/>
              </w:rPr>
            </w:r>
            <w:r>
              <w:rPr>
                <w:noProof/>
                <w:webHidden/>
              </w:rPr>
              <w:fldChar w:fldCharType="separate"/>
            </w:r>
            <w:r w:rsidR="00172264">
              <w:rPr>
                <w:noProof/>
                <w:webHidden/>
              </w:rPr>
              <w:t>5</w:t>
            </w:r>
            <w:r>
              <w:rPr>
                <w:noProof/>
                <w:webHidden/>
              </w:rPr>
              <w:fldChar w:fldCharType="end"/>
            </w:r>
          </w:hyperlink>
        </w:p>
        <w:p w14:paraId="1875680E" w14:textId="6E5864B1" w:rsidR="007977E3" w:rsidRDefault="00D57CD8">
          <w:r>
            <w:fldChar w:fldCharType="end"/>
          </w:r>
        </w:p>
      </w:sdtContent>
    </w:sdt>
    <w:p w14:paraId="6B25A904" w14:textId="77777777" w:rsidR="007977E3" w:rsidRDefault="00D57CD8">
      <w:pPr>
        <w:pStyle w:val="Heading1"/>
        <w:rPr>
          <w:lang w:val="nl-BE"/>
        </w:rPr>
      </w:pPr>
      <w:r>
        <w:br w:type="page"/>
      </w:r>
    </w:p>
    <w:p w14:paraId="1ED1E6AE" w14:textId="77777777" w:rsidR="007977E3" w:rsidRDefault="00D57CD8">
      <w:pPr>
        <w:pStyle w:val="Heading1"/>
        <w:rPr>
          <w:sz w:val="28"/>
          <w:szCs w:val="28"/>
          <w:lang w:val="nl-NL"/>
        </w:rPr>
      </w:pPr>
      <w:bookmarkStart w:id="2" w:name="_Toc56602455"/>
      <w:r>
        <w:rPr>
          <w:sz w:val="28"/>
          <w:szCs w:val="28"/>
          <w:lang w:val="nl-NL"/>
        </w:rPr>
        <w:lastRenderedPageBreak/>
        <w:t>Inleiding</w:t>
      </w:r>
      <w:bookmarkEnd w:id="2"/>
    </w:p>
    <w:p w14:paraId="758B6E29" w14:textId="77777777" w:rsidR="007977E3" w:rsidRDefault="00D57CD8">
      <w:pPr>
        <w:pStyle w:val="Heading2"/>
        <w:rPr>
          <w:lang w:val="nl-NL"/>
        </w:rPr>
      </w:pPr>
      <w:bookmarkStart w:id="3" w:name="_Toc56602456"/>
      <w:r>
        <w:rPr>
          <w:lang w:val="nl-NL"/>
        </w:rPr>
        <w:t>Context</w:t>
      </w:r>
      <w:bookmarkEnd w:id="3"/>
    </w:p>
    <w:p w14:paraId="010E09A5" w14:textId="77777777" w:rsidR="007977E3" w:rsidRDefault="00D57CD8">
      <w:pPr>
        <w:rPr>
          <w:lang w:val="nl-BE"/>
        </w:rPr>
      </w:pPr>
      <w:r>
        <w:rPr>
          <w:rFonts w:eastAsia="Calibri" w:cs="Calibri"/>
          <w:lang w:val="nl-NL"/>
        </w:rPr>
        <w:t>Overheden op lokaal, Vlaams, interfederaal en Europees niveau moeten in het kader van hun dienstverlening vaak samenwerken. In praktijk moeten bijgevolg heel wat gegevens uitgewisseld worden tussen de verschillende administraties. Deze gegevens zijn afkomstig uit verschillende systemen, zijn mogelijks niet in hetzelfde technische formaat beschikbaar, en volgen niet noodzakelijk dezelfde semantiek. Zonder het maken van afspraken, wordt kwaliteitsvolle gegevensuitwisseling onmogelijk. Dit onderstreept het belang van de ontwikkeling van datastandaarden.</w:t>
      </w:r>
    </w:p>
    <w:p w14:paraId="12949E0A" w14:textId="77777777" w:rsidR="007977E3" w:rsidRDefault="00D57CD8">
      <w:pPr>
        <w:rPr>
          <w:rFonts w:ascii="Calibri" w:eastAsia="Calibri" w:hAnsi="Calibri" w:cs="Calibri"/>
          <w:lang w:val="nl-NL"/>
        </w:rPr>
      </w:pPr>
      <w:r>
        <w:rPr>
          <w:rFonts w:eastAsia="Calibri" w:cs="Calibri"/>
          <w:lang w:val="nl-NL"/>
        </w:rPr>
        <w:t>Het programma Open Standaarden voor Linkende Organisaties (OSLO) zet in op de ontwikkeling van die data-, en andere standaarden. OSLO staat voor Open Standaarden voor Linkende Overheden (OSLO), een initiatief uit 2012 opgestart door de Vlaamse ICT-organisatie (V-ICT-OR). Hier werd de basis gelegd voor een open semantische informatiestandaard. Met OSLO zet informatie Vlaanderen samen met haar partners versterkt in op semantische interoperabiliteit.</w:t>
      </w:r>
    </w:p>
    <w:p w14:paraId="6A7FA7B8" w14:textId="77777777" w:rsidR="007977E3" w:rsidRDefault="00D57CD8">
      <w:pPr>
        <w:rPr>
          <w:lang w:val="nl-BE"/>
        </w:rPr>
      </w:pPr>
      <w:r>
        <w:rPr>
          <w:rFonts w:eastAsia="Calibri" w:cs="Calibri"/>
          <w:lang w:val="nl-NL"/>
        </w:rPr>
        <w:t>De verschillende standaarden kunnen onderverdeeld worden op basis van waar ze zich bevinden in de levenscyclus (erkende standaarden, kandidaat-standaarden en standaarden in ontwikkeling). Alle aangemelde data standaarden worden doorheen de hele levenscyclus gepubliceerd op het standaardenregister (</w:t>
      </w:r>
      <w:hyperlink r:id="rId11">
        <w:r>
          <w:rPr>
            <w:rStyle w:val="Internetkoppeling"/>
            <w:rFonts w:eastAsia="Calibri" w:cs="Calibri"/>
            <w:lang w:val="nl-NL"/>
          </w:rPr>
          <w:t>https://data.vlaanderen.be/standaarden/</w:t>
        </w:r>
      </w:hyperlink>
      <w:r>
        <w:rPr>
          <w:rFonts w:eastAsia="Calibri" w:cs="Calibri"/>
          <w:lang w:val="nl-NL"/>
        </w:rPr>
        <w:t>) en hierbij wordt ook, voor erkende data standaarden, aangegeven welk statuut ze krijgen (aanbevolen (vrijwillige toepassing), verplichting, pas toe of leg uit, …).</w:t>
      </w:r>
    </w:p>
    <w:p w14:paraId="3E522B21" w14:textId="77777777" w:rsidR="007977E3" w:rsidRDefault="00D57CD8">
      <w:pPr>
        <w:rPr>
          <w:rFonts w:ascii="Calibri" w:eastAsia="Calibri" w:hAnsi="Calibri" w:cs="Calibri"/>
          <w:lang w:val="nl-NL"/>
        </w:rPr>
      </w:pPr>
      <w:r>
        <w:rPr>
          <w:rFonts w:eastAsia="Calibri" w:cs="Calibri"/>
          <w:lang w:val="nl-NL"/>
        </w:rPr>
        <w:t>De data standaarden worden gedefinieerd, gemodelleerd, gepubliceerd, en afgestemd volgens een vastgelegd proces en methode in volgend document:</w:t>
      </w:r>
    </w:p>
    <w:p w14:paraId="714D54B9" w14:textId="77777777" w:rsidR="007977E3" w:rsidRDefault="00D57CD8">
      <w:pPr>
        <w:rPr>
          <w:rFonts w:ascii="Calibri" w:eastAsia="Calibri" w:hAnsi="Calibri" w:cs="Calibri"/>
          <w:lang w:val="nl-NL"/>
        </w:rPr>
      </w:pPr>
      <w:r>
        <w:rPr>
          <w:rFonts w:eastAsia="Calibri" w:cs="Calibri"/>
          <w:lang w:val="nl-NL"/>
        </w:rPr>
        <w:t>“</w:t>
      </w:r>
      <w:hyperlink r:id="rId12">
        <w:r>
          <w:rPr>
            <w:rStyle w:val="Internetkoppeling"/>
            <w:rFonts w:eastAsia="Calibri" w:cs="Calibri"/>
            <w:lang w:val="nl-NL"/>
          </w:rPr>
          <w:t>Proces en methode voor het ontwikkelen van data standaarden</w:t>
        </w:r>
      </w:hyperlink>
      <w:r>
        <w:rPr>
          <w:rFonts w:eastAsia="Calibri" w:cs="Calibri"/>
          <w:lang w:val="nl-NL"/>
        </w:rPr>
        <w:t>”</w:t>
      </w:r>
    </w:p>
    <w:p w14:paraId="3EB81ED7" w14:textId="61AA89A8" w:rsidR="007977E3" w:rsidRDefault="00D57CD8">
      <w:pPr>
        <w:rPr>
          <w:lang w:val="nl-NL"/>
        </w:rPr>
      </w:pPr>
      <w:r>
        <w:rPr>
          <w:lang w:val="nl-NL"/>
        </w:rPr>
        <w:t xml:space="preserve">Dit proces en de daarbij horende methodes zijn </w:t>
      </w:r>
      <w:r w:rsidRPr="007C0239">
        <w:rPr>
          <w:b/>
          <w:bCs/>
          <w:lang w:val="nl-NL"/>
        </w:rPr>
        <w:t xml:space="preserve">erkend </w:t>
      </w:r>
      <w:r w:rsidR="007C0239" w:rsidRPr="007C0239">
        <w:rPr>
          <w:b/>
          <w:bCs/>
          <w:lang w:val="nl-NL"/>
        </w:rPr>
        <w:t>door het Stuurorgaan Vlaams Informatie en ICT-beleid</w:t>
      </w:r>
      <w:r w:rsidR="007C0239" w:rsidRPr="007236DC">
        <w:rPr>
          <w:b/>
          <w:bCs/>
          <w:lang w:val="nl-NL"/>
        </w:rPr>
        <w:t xml:space="preserve"> </w:t>
      </w:r>
      <w:r w:rsidR="007236DC" w:rsidRPr="007236DC">
        <w:rPr>
          <w:b/>
          <w:bCs/>
          <w:lang w:val="nl-NL"/>
        </w:rPr>
        <w:t xml:space="preserve">met als statuut </w:t>
      </w:r>
      <w:r w:rsidR="007236DC">
        <w:rPr>
          <w:b/>
          <w:bCs/>
          <w:lang w:val="nl-NL"/>
        </w:rPr>
        <w:t>“</w:t>
      </w:r>
      <w:r w:rsidR="007236DC" w:rsidRPr="007236DC">
        <w:rPr>
          <w:b/>
          <w:bCs/>
          <w:lang w:val="nl-NL"/>
        </w:rPr>
        <w:t>pas toe of leg uit</w:t>
      </w:r>
      <w:r w:rsidR="007236DC">
        <w:rPr>
          <w:b/>
          <w:bCs/>
          <w:lang w:val="nl-NL"/>
        </w:rPr>
        <w:t>”</w:t>
      </w:r>
      <w:r w:rsidR="007236DC">
        <w:rPr>
          <w:lang w:val="nl-NL"/>
        </w:rPr>
        <w:t xml:space="preserve"> </w:t>
      </w:r>
      <w:r>
        <w:rPr>
          <w:lang w:val="nl-NL"/>
        </w:rPr>
        <w:t>en is</w:t>
      </w:r>
      <w:r w:rsidR="007236DC">
        <w:rPr>
          <w:lang w:val="nl-NL"/>
        </w:rPr>
        <w:t xml:space="preserve"> </w:t>
      </w:r>
      <w:r>
        <w:rPr>
          <w:lang w:val="nl-NL"/>
        </w:rPr>
        <w:t>gepubliceerd op het standaardenregister.</w:t>
      </w:r>
    </w:p>
    <w:p w14:paraId="3883EBA8" w14:textId="77777777" w:rsidR="007977E3" w:rsidRDefault="007977E3">
      <w:pPr>
        <w:rPr>
          <w:lang w:val="nl-NL"/>
        </w:rPr>
      </w:pPr>
    </w:p>
    <w:p w14:paraId="37F465CC" w14:textId="77777777" w:rsidR="007977E3" w:rsidRDefault="00D57CD8">
      <w:pPr>
        <w:pStyle w:val="Heading2"/>
        <w:rPr>
          <w:lang w:val="nl-NL"/>
        </w:rPr>
      </w:pPr>
      <w:bookmarkStart w:id="4" w:name="_Toc56602457"/>
      <w:r>
        <w:rPr>
          <w:lang w:val="nl-NL"/>
        </w:rPr>
        <w:t>Doel van dit document</w:t>
      </w:r>
      <w:bookmarkEnd w:id="4"/>
    </w:p>
    <w:p w14:paraId="35F20DD0" w14:textId="7A8F7688" w:rsidR="007977E3" w:rsidRDefault="00D57CD8">
      <w:pPr>
        <w:rPr>
          <w:lang w:val="nl-NL"/>
        </w:rPr>
      </w:pPr>
      <w:r>
        <w:rPr>
          <w:lang w:val="nl-NL"/>
        </w:rPr>
        <w:t xml:space="preserve">Er zijn heel situaties denkbaar waarin je, geheel of gedeeltelijk, afwijkt </w:t>
      </w:r>
      <w:r w:rsidR="004E5C04">
        <w:rPr>
          <w:lang w:val="nl-NL"/>
        </w:rPr>
        <w:t xml:space="preserve">van de afspraken ter ontwikkeling van  </w:t>
      </w:r>
      <w:r>
        <w:rPr>
          <w:lang w:val="nl-NL"/>
        </w:rPr>
        <w:t>een data standaard. Dit document laat toe om te documenteren waar er wordt afgeweken, wat hiervoor de reden is, wat de impact is en welke acties er zullen genomen worden om de impact te beperken.</w:t>
      </w:r>
    </w:p>
    <w:p w14:paraId="79E30FAE" w14:textId="697CC47D" w:rsidR="007236DC" w:rsidRDefault="00D57CD8">
      <w:pPr>
        <w:rPr>
          <w:lang w:val="nl-NL"/>
        </w:rPr>
      </w:pPr>
      <w:r>
        <w:rPr>
          <w:lang w:val="nl-NL"/>
        </w:rPr>
        <w:t>Het documenteren en motiveren van die afwijking is bijvoorbeeld belangrijk wanneer de betreffende standaard een verplicht karakter en/of het statuut van “pas toe of leg uit” heeft.</w:t>
      </w:r>
      <w:r w:rsidR="007236DC">
        <w:rPr>
          <w:lang w:val="nl-NL"/>
        </w:rPr>
        <w:t xml:space="preserve">  </w:t>
      </w:r>
    </w:p>
    <w:p w14:paraId="450A20C1" w14:textId="77777777" w:rsidR="007977E3" w:rsidRDefault="00D57CD8">
      <w:pPr>
        <w:rPr>
          <w:lang w:val="nl-NL"/>
        </w:rPr>
      </w:pPr>
      <w:r>
        <w:rPr>
          <w:lang w:val="nl-NL"/>
        </w:rPr>
        <w:t>Dit document heeft de betrokken entiteit, organisatie, leverancier, de mogelijkheid om de afwijkingen t.o.v. de data standaard als volgt te documenteren en te motiveren:</w:t>
      </w:r>
    </w:p>
    <w:p w14:paraId="30975B64" w14:textId="77777777" w:rsidR="007977E3" w:rsidRDefault="00D57CD8">
      <w:pPr>
        <w:pStyle w:val="ListParagraph"/>
        <w:numPr>
          <w:ilvl w:val="0"/>
          <w:numId w:val="2"/>
        </w:numPr>
        <w:spacing w:after="0"/>
        <w:rPr>
          <w:rFonts w:eastAsiaTheme="minorEastAsia"/>
          <w:lang w:val="nl-NL"/>
        </w:rPr>
      </w:pPr>
      <w:r>
        <w:rPr>
          <w:rFonts w:eastAsia="Calibri" w:cs="Calibri"/>
          <w:lang w:val="nl-NL"/>
        </w:rPr>
        <w:t>Verwijzing naar de data standaard waarop de documentatie en motivatie op van toepassing is</w:t>
      </w:r>
    </w:p>
    <w:p w14:paraId="3999C58C" w14:textId="77777777" w:rsidR="007977E3" w:rsidRDefault="00D57CD8">
      <w:pPr>
        <w:pStyle w:val="ListParagraph"/>
        <w:numPr>
          <w:ilvl w:val="0"/>
          <w:numId w:val="2"/>
        </w:numPr>
        <w:rPr>
          <w:rFonts w:eastAsiaTheme="minorEastAsia"/>
          <w:lang w:val="nl-BE"/>
        </w:rPr>
      </w:pPr>
      <w:r>
        <w:rPr>
          <w:rFonts w:eastAsia="Calibri" w:cs="Calibri"/>
          <w:lang w:val="nl-NL"/>
        </w:rPr>
        <w:t>Specificatie: welke aspecten van de standaard betreft de 'leg uit'?</w:t>
      </w:r>
    </w:p>
    <w:p w14:paraId="5B3C6ADE" w14:textId="77777777" w:rsidR="007977E3" w:rsidRDefault="00D57CD8">
      <w:pPr>
        <w:pStyle w:val="ListParagraph"/>
        <w:numPr>
          <w:ilvl w:val="0"/>
          <w:numId w:val="2"/>
        </w:numPr>
        <w:rPr>
          <w:rFonts w:eastAsiaTheme="minorEastAsia"/>
          <w:lang w:val="nl-BE"/>
        </w:rPr>
      </w:pPr>
      <w:r>
        <w:rPr>
          <w:rFonts w:eastAsiaTheme="minorEastAsia"/>
          <w:lang w:val="nl-BE"/>
        </w:rPr>
        <w:t>Afwijking: Op welke manier wordt er afgeweken van de standaard?</w:t>
      </w:r>
    </w:p>
    <w:p w14:paraId="37DCACC7" w14:textId="77777777" w:rsidR="007977E3" w:rsidRDefault="00D57CD8">
      <w:pPr>
        <w:pStyle w:val="ListParagraph"/>
        <w:numPr>
          <w:ilvl w:val="0"/>
          <w:numId w:val="2"/>
        </w:numPr>
        <w:rPr>
          <w:rFonts w:eastAsiaTheme="minorEastAsia"/>
          <w:lang w:val="nl-BE"/>
        </w:rPr>
      </w:pPr>
      <w:r>
        <w:rPr>
          <w:rFonts w:eastAsia="Calibri" w:cs="Calibri"/>
          <w:lang w:val="nl-NL"/>
        </w:rPr>
        <w:lastRenderedPageBreak/>
        <w:t>Oorzaak: wat is de reden dat er (nog) niet kan worden voldaan?</w:t>
      </w:r>
    </w:p>
    <w:p w14:paraId="27DD17E0" w14:textId="77777777" w:rsidR="007977E3" w:rsidRDefault="00D57CD8">
      <w:pPr>
        <w:pStyle w:val="ListParagraph"/>
        <w:numPr>
          <w:ilvl w:val="0"/>
          <w:numId w:val="2"/>
        </w:numPr>
        <w:rPr>
          <w:rFonts w:eastAsiaTheme="minorEastAsia"/>
          <w:lang w:val="nl-NL"/>
        </w:rPr>
      </w:pPr>
      <w:r>
        <w:rPr>
          <w:rFonts w:eastAsia="Calibri" w:cs="Calibri"/>
          <w:lang w:val="nl-NL"/>
        </w:rPr>
        <w:t>Impact: welke gevolgen of beperkingen heeft het niet (volledig) voldoen aan de standaard, bijvoorbeeld voor gebruikers, uitwisseling, interoperabiliteit, integratie, …? Beschrijf, indien relevant hoe er desondanks de afwijking toch kan gesproken worden over conformiteit.</w:t>
      </w:r>
    </w:p>
    <w:p w14:paraId="67E9AE16" w14:textId="77777777" w:rsidR="007977E3" w:rsidRDefault="00D57CD8">
      <w:pPr>
        <w:pStyle w:val="ListParagraph"/>
        <w:numPr>
          <w:ilvl w:val="0"/>
          <w:numId w:val="2"/>
        </w:numPr>
        <w:rPr>
          <w:rFonts w:eastAsiaTheme="minorEastAsia"/>
          <w:lang w:val="nl-BE"/>
        </w:rPr>
      </w:pPr>
      <w:r>
        <w:rPr>
          <w:rFonts w:eastAsia="Calibri" w:cs="Calibri"/>
          <w:lang w:val="nl-NL"/>
        </w:rPr>
        <w:t>Alternatieven: zijn er alternatieven en waar zijn deze vindbaar?</w:t>
      </w:r>
    </w:p>
    <w:p w14:paraId="0AC8674C" w14:textId="77777777" w:rsidR="007977E3" w:rsidRDefault="00D57CD8">
      <w:pPr>
        <w:pStyle w:val="ListParagraph"/>
        <w:numPr>
          <w:ilvl w:val="0"/>
          <w:numId w:val="2"/>
        </w:numPr>
        <w:rPr>
          <w:rFonts w:eastAsiaTheme="minorEastAsia"/>
          <w:lang w:val="nl-BE"/>
        </w:rPr>
      </w:pPr>
      <w:r>
        <w:rPr>
          <w:rFonts w:eastAsia="Calibri" w:cs="Calibri"/>
          <w:lang w:val="nl-NL"/>
        </w:rPr>
        <w:t>Maatregelen: welke maatregelen worden genomen om alsnog aan de standaard te kunnen voldoen en/of om de impact te beperken en op welke termijn zullen de maatregelen zijn geïmplementeerd?</w:t>
      </w:r>
    </w:p>
    <w:p w14:paraId="452F9844" w14:textId="77777777" w:rsidR="007977E3" w:rsidRDefault="00D57CD8">
      <w:pPr>
        <w:pStyle w:val="ListParagraph"/>
        <w:numPr>
          <w:ilvl w:val="0"/>
          <w:numId w:val="2"/>
        </w:numPr>
        <w:rPr>
          <w:rFonts w:eastAsiaTheme="minorEastAsia"/>
          <w:lang w:val="nl-NL"/>
        </w:rPr>
        <w:sectPr w:rsidR="007977E3">
          <w:headerReference w:type="default" r:id="rId13"/>
          <w:footerReference w:type="default" r:id="rId14"/>
          <w:pgSz w:w="12240" w:h="15840"/>
          <w:pgMar w:top="1440" w:right="1440" w:bottom="1440" w:left="1440" w:header="720" w:footer="720" w:gutter="0"/>
          <w:cols w:space="708"/>
          <w:formProt w:val="0"/>
          <w:docGrid w:linePitch="360" w:charSpace="4096"/>
        </w:sectPr>
      </w:pPr>
      <w:r>
        <w:rPr>
          <w:rFonts w:eastAsia="Calibri" w:cs="Calibri"/>
          <w:lang w:val="nl-NL"/>
        </w:rPr>
        <w:t>Commentaar: Eventuele bijkomende commentaar, duiding, opmerkingen die vanuit de organisatie die de documentatie en motivatie heeft opgesteld of vanuit het OSLO programma</w:t>
      </w:r>
    </w:p>
    <w:p w14:paraId="325A9310" w14:textId="666FCD5E" w:rsidR="007236DC" w:rsidRDefault="00D57CD8" w:rsidP="007236DC">
      <w:pPr>
        <w:pStyle w:val="Heading1"/>
        <w:rPr>
          <w:lang w:val="nl-NL"/>
        </w:rPr>
      </w:pPr>
      <w:bookmarkStart w:id="5" w:name="_Toc56602458"/>
      <w:r>
        <w:rPr>
          <w:lang w:val="nl-NL"/>
        </w:rPr>
        <w:lastRenderedPageBreak/>
        <w:t>Verklaring – documentatie en motivatie van de afwijking</w:t>
      </w:r>
      <w:bookmarkEnd w:id="5"/>
    </w:p>
    <w:p w14:paraId="6A267918" w14:textId="47F72C1C" w:rsidR="007236DC" w:rsidRPr="007236DC" w:rsidRDefault="007236DC" w:rsidP="007236DC">
      <w:pPr>
        <w:rPr>
          <w:lang w:val="nl-NL"/>
        </w:rPr>
      </w:pPr>
      <w:r>
        <w:rPr>
          <w:lang w:val="nl-NL"/>
        </w:rPr>
        <w:t xml:space="preserve">Dit document motiveert de afwijkingen t.o.v. de data standaard </w:t>
      </w:r>
      <w:hyperlink r:id="rId15">
        <w:r>
          <w:rPr>
            <w:rStyle w:val="Internetkoppeling"/>
            <w:rFonts w:eastAsia="Calibri" w:cs="Calibri"/>
            <w:lang w:val="nl-NL"/>
          </w:rPr>
          <w:t>Proces en methode voor het ontwikkelen van data standaarden</w:t>
        </w:r>
      </w:hyperlink>
      <w:r w:rsidR="00AA1B48">
        <w:rPr>
          <w:rFonts w:eastAsia="Calibri" w:cs="Calibri"/>
          <w:lang w:val="nl-NL"/>
        </w:rPr>
        <w:t xml:space="preserve">, </w:t>
      </w:r>
      <w:r w:rsidR="00AA1B48" w:rsidRPr="00AA1B48">
        <w:rPr>
          <w:lang w:val="nl-NL"/>
        </w:rPr>
        <w:t>erkend door het Stuurorgaan Vlaams Informatie en ICT-beleid met als statuut “pas toe of leg uit”.</w:t>
      </w:r>
    </w:p>
    <w:p w14:paraId="39005DC9" w14:textId="77777777" w:rsidR="007977E3" w:rsidRDefault="00D57CD8">
      <w:pPr>
        <w:pStyle w:val="Heading2"/>
        <w:rPr>
          <w:lang w:val="nl-NL"/>
        </w:rPr>
      </w:pPr>
      <w:bookmarkStart w:id="6" w:name="_Toc56602459"/>
      <w:r>
        <w:rPr>
          <w:lang w:val="nl-NL"/>
        </w:rPr>
        <w:t>Algemene toelichting</w:t>
      </w:r>
      <w:bookmarkEnd w:id="6"/>
    </w:p>
    <w:p w14:paraId="5E1AB20C" w14:textId="77777777" w:rsidR="007977E3" w:rsidRDefault="00D57CD8">
      <w:pPr>
        <w:rPr>
          <w:lang w:val="nl-NL"/>
        </w:rPr>
      </w:pPr>
      <w:r>
        <w:rPr>
          <w:lang w:val="nl-NL"/>
        </w:rPr>
        <w:t>Voor de bouw en opvolging van onderdelen en installaties (zoals wegen</w:t>
      </w:r>
      <w:r w:rsidR="00665459">
        <w:rPr>
          <w:lang w:val="nl-NL"/>
        </w:rPr>
        <w:t>, elektromechanische installaties</w:t>
      </w:r>
      <w:r>
        <w:rPr>
          <w:lang w:val="nl-NL"/>
        </w:rPr>
        <w:t xml:space="preserve"> en kunstwerken)  waarvoor het Agentschap Wegen en Verkeer verantwoordelijk is, heeft het Agentschap Wegen en Verkeer een globale visie rond digitalisering ontwikkeld. In deze visie is data interoperabiliteit een basisprincipe. Doorheen de levensloop van een bouwwerk interageren vele actoren met elkaar. Om de interactie tussen hen vlot te laten lopen zijn er afspraken nodig. Bestaande initiatieven zoals </w:t>
      </w:r>
      <w:r>
        <w:rPr>
          <w:lang w:val="nl-BE"/>
        </w:rPr>
        <w:t xml:space="preserve">de werking rond de standaardbestekken 250, 260 en 270 vullen deze nood deels in. </w:t>
      </w:r>
      <w:r>
        <w:rPr>
          <w:lang w:val="nl-NL"/>
        </w:rPr>
        <w:t xml:space="preserve"> </w:t>
      </w:r>
      <w:r w:rsidR="00665459">
        <w:rPr>
          <w:lang w:val="nl-NL"/>
        </w:rPr>
        <w:t xml:space="preserve">Alle belanghebbenden die dan ook bijdragen aan de opmaak van de standaardbestekken, worden tevens betrokken bij de opmaak </w:t>
      </w:r>
      <w:r w:rsidR="004D06D3">
        <w:rPr>
          <w:lang w:val="nl-NL"/>
        </w:rPr>
        <w:t xml:space="preserve">van de data standaarden. </w:t>
      </w:r>
    </w:p>
    <w:p w14:paraId="412D61E2" w14:textId="77777777" w:rsidR="007977E3" w:rsidRDefault="00D57CD8">
      <w:pPr>
        <w:rPr>
          <w:lang w:val="nl-NL"/>
        </w:rPr>
      </w:pPr>
      <w:r>
        <w:rPr>
          <w:lang w:val="nl-NL"/>
        </w:rPr>
        <w:t>Met de publicatie van de semantiek van gebruikte termen op het domein wegenenverkeer.data.vlaanderen.be versterkt het Agentschap Wegen en Verkeer haar visie</w:t>
      </w:r>
      <w:r w:rsidR="004D06D3">
        <w:rPr>
          <w:lang w:val="nl-NL"/>
        </w:rPr>
        <w:t>, als ook deze van haar belanghebbenden</w:t>
      </w:r>
      <w:r>
        <w:rPr>
          <w:lang w:val="nl-NL"/>
        </w:rPr>
        <w:t xml:space="preserve">. Enerzijds door de semantische afspraken eenduidig en voor iedereen toegankelijk te maken, anderzijds door in te schrijven in een formeel proces voor het beheer van deze termen. Hoewel de algemene doelstelling en de werking grotendeels gelijklopend zijn met de werking zoals beschreven in de standaard OSLO proces en methode, vereisen de afwijkingen duiding. </w:t>
      </w:r>
    </w:p>
    <w:p w14:paraId="0510E7AF" w14:textId="77777777" w:rsidR="007977E3" w:rsidRDefault="00D57CD8">
      <w:pPr>
        <w:pStyle w:val="Heading2"/>
        <w:rPr>
          <w:lang w:val="nl-NL"/>
        </w:rPr>
      </w:pPr>
      <w:bookmarkStart w:id="7" w:name="_Toc56602460"/>
      <w:r>
        <w:rPr>
          <w:lang w:val="nl-NL"/>
        </w:rPr>
        <w:t>Gedetailleerde beschrijving</w:t>
      </w:r>
      <w:bookmarkEnd w:id="7"/>
    </w:p>
    <w:p w14:paraId="7494CA1C" w14:textId="77777777" w:rsidR="007977E3" w:rsidRDefault="00D57CD8">
      <w:pPr>
        <w:rPr>
          <w:lang w:val="nl-NL"/>
        </w:rPr>
      </w:pPr>
      <w:r>
        <w:rPr>
          <w:b/>
          <w:bCs/>
          <w:lang w:val="nl-NL"/>
        </w:rPr>
        <w:t>Publicatie omgeving</w:t>
      </w:r>
      <w:r>
        <w:rPr>
          <w:lang w:val="nl-NL"/>
        </w:rPr>
        <w:t xml:space="preserve"> is </w:t>
      </w:r>
      <w:r>
        <w:rPr>
          <w:b/>
          <w:bCs/>
          <w:lang w:val="nl-NL"/>
        </w:rPr>
        <w:t>wegenenverkeer.data.vlaanderen.be</w:t>
      </w:r>
      <w:r>
        <w:rPr>
          <w:lang w:val="nl-NL"/>
        </w:rPr>
        <w:t xml:space="preserve">. Termen die onder het beheer vallen van het Agentschap Wegen en Verkeer en die het proces volgen zoals beschreven in dit document zullen op dit domein gepubliceerd worden. De persistentie en de toegankelijkheid tot dit domein zullen gezamenlijk gedragen worden door Agentschap Wegen en Verkeer en Agentschap Informatie Vlaanderen.  </w:t>
      </w:r>
    </w:p>
    <w:p w14:paraId="0B1A9474" w14:textId="7B203CBE" w:rsidR="007977E3" w:rsidRDefault="00D57CD8">
      <w:pPr>
        <w:rPr>
          <w:lang w:val="nl-NL"/>
        </w:rPr>
      </w:pPr>
      <w:r>
        <w:rPr>
          <w:lang w:val="nl-NL"/>
        </w:rPr>
        <w:t>(</w:t>
      </w:r>
      <w:r>
        <w:rPr>
          <w:b/>
          <w:bCs/>
          <w:lang w:val="nl-NL"/>
        </w:rPr>
        <w:t>één model</w:t>
      </w:r>
      <w:r>
        <w:rPr>
          <w:lang w:val="nl-NL"/>
        </w:rPr>
        <w:t xml:space="preserve">) Waar de data standaarden op data.vlaanderen.be elk een levensloop hebben (de levensloop van een term is gekoppeld aan de levensloop van een specificatie document), is de levensloop van de termen op wegenenverkeer.data.vlaanderen.be individueel.  Dat komt omdat er versionering op het geheel wordt toegepast. Alle termen behorende tot één versie vormen een coherent en consistent geheel. </w:t>
      </w:r>
    </w:p>
    <w:p w14:paraId="616CB59E" w14:textId="048B5E3D" w:rsidR="00171AAE" w:rsidRPr="00171AAE" w:rsidRDefault="00171AAE" w:rsidP="00171AAE">
      <w:pPr>
        <w:rPr>
          <w:lang w:val="nl-NL"/>
        </w:rPr>
      </w:pPr>
      <w:r>
        <w:rPr>
          <w:lang w:val="nl-NL"/>
        </w:rPr>
        <w:t xml:space="preserve">Dit ene model is continue veranderingsbeheer (zie proces en methode, sectie 4.5). Op elk moment zijn er 3 versies beschikbaar: de huidige erkende versie, de toekomstige versie (kandidaat) en een ontwerp document. </w:t>
      </w:r>
    </w:p>
    <w:p w14:paraId="5A1BE3A1" w14:textId="4D951184" w:rsidR="007977E3" w:rsidRDefault="000F4C52">
      <w:pPr>
        <w:rPr>
          <w:lang w:val="nl-NL"/>
        </w:rPr>
      </w:pPr>
      <w:r w:rsidRPr="000F4C52">
        <w:rPr>
          <w:b/>
          <w:bCs/>
          <w:lang w:val="nl-NL"/>
        </w:rPr>
        <w:t>(</w:t>
      </w:r>
      <w:r>
        <w:rPr>
          <w:b/>
          <w:bCs/>
          <w:lang w:val="nl-NL"/>
        </w:rPr>
        <w:t>governance m.b.t. het</w:t>
      </w:r>
      <w:r w:rsidRPr="000F4C52">
        <w:rPr>
          <w:b/>
          <w:bCs/>
          <w:lang w:val="nl-NL"/>
        </w:rPr>
        <w:t xml:space="preserve"> continue veranderingsbeheer)</w:t>
      </w:r>
      <w:r>
        <w:rPr>
          <w:lang w:val="nl-NL"/>
        </w:rPr>
        <w:t xml:space="preserve"> </w:t>
      </w:r>
      <w:r w:rsidR="00D57CD8">
        <w:rPr>
          <w:lang w:val="nl-NL"/>
        </w:rPr>
        <w:t xml:space="preserve">Het continue veranderingsproces laat toe om snel het semantische afsprakenkader aan te passen aan nieuwe realiteiten. Om de governance door de werkgroep datastandaarden en het Stuurorgaan voor ICT en informatiebeleid te realiseren zal Agentschap Wegen en Verkeer inzichtelijke rapportering geven. Erkenning van een nieuwe versie zal dus het normale proces volgen: aankondiging en beknopte toelichting op de werkgroep datastandaarden en daarna de vraag tot bekrachtiging van de erkenning voorleggen aan het Stuurorgaan. </w:t>
      </w:r>
    </w:p>
    <w:p w14:paraId="480227E6" w14:textId="3E9FB2C5" w:rsidR="000F4C52" w:rsidRDefault="000F4C52">
      <w:pPr>
        <w:rPr>
          <w:lang w:val="nl-NL"/>
        </w:rPr>
      </w:pPr>
      <w:r>
        <w:rPr>
          <w:lang w:val="nl-NL"/>
        </w:rPr>
        <w:t>(</w:t>
      </w:r>
      <w:r>
        <w:rPr>
          <w:b/>
          <w:bCs/>
          <w:lang w:val="nl-NL"/>
        </w:rPr>
        <w:t>gestandaardiseerde entiteiten</w:t>
      </w:r>
      <w:r>
        <w:rPr>
          <w:lang w:val="nl-NL"/>
        </w:rPr>
        <w:t xml:space="preserve">) Op wegenenverkeer.data.vlaanderen.be zullen naast de termen ook implementatiemodellen gepubliceerd worden. Deze implementatiemodellen vormen geen onderdeel van het erkenningsproces van deze afwijking </w:t>
      </w:r>
      <w:r w:rsidRPr="000F4C52">
        <w:rPr>
          <w:i/>
          <w:iCs/>
          <w:lang w:val="nl-NL"/>
        </w:rPr>
        <w:t>op dit moment</w:t>
      </w:r>
      <w:r>
        <w:rPr>
          <w:lang w:val="nl-NL"/>
        </w:rPr>
        <w:t>. Echter het Agentschap Wegen en Verkeer zal deze op dezelfde manier behandelen waardoor op termijn, als de governance van implementatiemodellen opgenomen is in het algemene proces en methode, ook deze kunnen erkend worden als specificaties onder de governance van het Stuurorgaan voor ICT en informatiebeleid.</w:t>
      </w:r>
    </w:p>
    <w:p w14:paraId="7AF873F2" w14:textId="3D011568" w:rsidR="007977E3" w:rsidRDefault="00D57CD8">
      <w:pPr>
        <w:rPr>
          <w:lang w:val="nl-NL"/>
        </w:rPr>
      </w:pPr>
      <w:r>
        <w:rPr>
          <w:lang w:val="nl-NL"/>
        </w:rPr>
        <w:t>(</w:t>
      </w:r>
      <w:r w:rsidR="000F4C52">
        <w:rPr>
          <w:b/>
          <w:bCs/>
          <w:lang w:val="nl-NL"/>
        </w:rPr>
        <w:t>c</w:t>
      </w:r>
      <w:r>
        <w:rPr>
          <w:b/>
          <w:bCs/>
          <w:lang w:val="nl-NL"/>
        </w:rPr>
        <w:t>oherentie met andere datastandaarden</w:t>
      </w:r>
      <w:r>
        <w:rPr>
          <w:lang w:val="nl-NL"/>
        </w:rPr>
        <w:t>) Hoewel het een basispraktijk is voor de uitmodellering van de datastandaard verbinden Informatie Vlaanderen en Agentschap Wegen en Verkeer er zich toe om de coherentie tussen beide domeinen actief ter harte te nemen. Het gebruik van een andere domein laat toe om eenduidig een term te koppelen aan zijn veranderingsproces. Het brengt ook extra zorgen mee: namelijk dat gelijkaardige termen zouden kunnen gedefinieerd worden, wat dan bijkomende complexiteit voor de gebruiker van de datastandaarden met zich mee brengt. Deze coherentie activiteiten omvatten regelmatig overleg, het stimuleren van hergebruik van termen, het verbeteren van ondersteunende tooling en de gezamenlijke uitwerking en toepassing van die tooling.</w:t>
      </w:r>
    </w:p>
    <w:p w14:paraId="288510AA" w14:textId="77777777" w:rsidR="007977E3" w:rsidRDefault="007977E3">
      <w:pPr>
        <w:rPr>
          <w:lang w:val="nl-NL"/>
        </w:rPr>
      </w:pPr>
    </w:p>
    <w:p w14:paraId="13DD0614" w14:textId="77777777" w:rsidR="007977E3" w:rsidRDefault="007977E3">
      <w:pPr>
        <w:rPr>
          <w:lang w:val="nl-NL"/>
        </w:rPr>
      </w:pPr>
    </w:p>
    <w:tbl>
      <w:tblPr>
        <w:tblStyle w:val="ListTable3-Accent41"/>
        <w:tblW w:w="5000" w:type="pct"/>
        <w:tblLook w:val="04A0" w:firstRow="1" w:lastRow="0" w:firstColumn="1" w:lastColumn="0" w:noHBand="0" w:noVBand="1"/>
      </w:tblPr>
      <w:tblGrid>
        <w:gridCol w:w="1488"/>
        <w:gridCol w:w="3556"/>
        <w:gridCol w:w="3527"/>
        <w:gridCol w:w="2784"/>
        <w:gridCol w:w="3445"/>
        <w:gridCol w:w="3000"/>
        <w:gridCol w:w="3347"/>
      </w:tblGrid>
      <w:tr w:rsidR="007977E3" w:rsidRPr="00586434" w14:paraId="3545763A" w14:textId="77777777" w:rsidTr="007977E3">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818" w:type="dxa"/>
          </w:tcPr>
          <w:p w14:paraId="213EE936" w14:textId="77777777" w:rsidR="007977E3" w:rsidRDefault="00D57CD8">
            <w:pPr>
              <w:spacing w:after="0" w:line="240" w:lineRule="auto"/>
              <w:rPr>
                <w:lang w:val="nl-NL"/>
              </w:rPr>
            </w:pPr>
            <w:r>
              <w:rPr>
                <w:lang w:val="nl-NL"/>
              </w:rPr>
              <w:t>Standaard:</w:t>
            </w:r>
          </w:p>
        </w:tc>
        <w:tc>
          <w:tcPr>
            <w:tcW w:w="10516" w:type="dxa"/>
            <w:gridSpan w:val="3"/>
            <w:tcBorders>
              <w:left w:val="nil"/>
              <w:bottom w:val="nil"/>
              <w:right w:val="nil"/>
            </w:tcBorders>
          </w:tcPr>
          <w:p w14:paraId="05857C16" w14:textId="77777777" w:rsidR="007977E3" w:rsidRDefault="00D57CD8">
            <w:pPr>
              <w:spacing w:after="0" w:line="240" w:lineRule="auto"/>
              <w:cnfStyle w:val="100000000000" w:firstRow="1" w:lastRow="0" w:firstColumn="0" w:lastColumn="0" w:oddVBand="0" w:evenVBand="0" w:oddHBand="0" w:evenHBand="0" w:firstRowFirstColumn="0" w:firstRowLastColumn="0" w:lastRowFirstColumn="0" w:lastRowLastColumn="0"/>
              <w:rPr>
                <w:b w:val="0"/>
                <w:bCs w:val="0"/>
                <w:lang w:val="nl-NL"/>
              </w:rPr>
            </w:pPr>
            <w:r>
              <w:rPr>
                <w:b w:val="0"/>
                <w:bCs w:val="0"/>
                <w:lang w:val="nl-NL"/>
              </w:rPr>
              <w:t>Proces en methode voor het ontwikkelen van een datastandaard</w:t>
            </w:r>
          </w:p>
        </w:tc>
        <w:tc>
          <w:tcPr>
            <w:tcW w:w="8596" w:type="dxa"/>
            <w:gridSpan w:val="3"/>
            <w:tcBorders>
              <w:left w:val="nil"/>
              <w:bottom w:val="nil"/>
            </w:tcBorders>
          </w:tcPr>
          <w:p w14:paraId="6CF605B2" w14:textId="77777777" w:rsidR="007977E3" w:rsidRDefault="00D57CD8">
            <w:pPr>
              <w:spacing w:after="0" w:line="240" w:lineRule="auto"/>
              <w:cnfStyle w:val="100000000000" w:firstRow="1" w:lastRow="0" w:firstColumn="0" w:lastColumn="0" w:oddVBand="0" w:evenVBand="0" w:oddHBand="0" w:evenHBand="0" w:firstRowFirstColumn="0" w:firstRowLastColumn="0" w:lastRowFirstColumn="0" w:lastRowLastColumn="0"/>
              <w:rPr>
                <w:b w:val="0"/>
                <w:bCs w:val="0"/>
                <w:lang w:val="nl-NL"/>
              </w:rPr>
            </w:pPr>
            <w:r>
              <w:rPr>
                <w:b w:val="0"/>
                <w:bCs w:val="0"/>
                <w:lang w:val="nl-NL"/>
              </w:rPr>
              <w:t>https://data.vlaanderen.be/cms/Proces_en_methode_voor_de_erkenning_van_datastandaarden_v1.0.pdf</w:t>
            </w:r>
          </w:p>
        </w:tc>
      </w:tr>
      <w:tr w:rsidR="007977E3" w14:paraId="400B64E2" w14:textId="77777777" w:rsidTr="007977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44D54C96" w14:textId="77777777" w:rsidR="007977E3" w:rsidRDefault="00D57CD8">
            <w:pPr>
              <w:spacing w:after="0" w:line="240" w:lineRule="auto"/>
              <w:rPr>
                <w:b w:val="0"/>
                <w:bCs w:val="0"/>
                <w:lang w:val="nl-NL"/>
              </w:rPr>
            </w:pPr>
            <w:r>
              <w:rPr>
                <w:lang w:val="nl-NL"/>
              </w:rPr>
              <w:t>Nr</w:t>
            </w:r>
          </w:p>
        </w:tc>
        <w:tc>
          <w:tcPr>
            <w:tcW w:w="3563" w:type="dxa"/>
            <w:tcBorders>
              <w:left w:val="nil"/>
              <w:right w:val="nil"/>
            </w:tcBorders>
            <w:shd w:val="clear" w:color="auto" w:fill="auto"/>
          </w:tcPr>
          <w:p w14:paraId="45E7F534" w14:textId="77777777" w:rsidR="007977E3" w:rsidRDefault="00D57CD8">
            <w:pPr>
              <w:spacing w:after="0" w:line="240" w:lineRule="auto"/>
              <w:cnfStyle w:val="000000100000" w:firstRow="0" w:lastRow="0" w:firstColumn="0" w:lastColumn="0" w:oddVBand="0" w:evenVBand="0" w:oddHBand="1" w:evenHBand="0" w:firstRowFirstColumn="0" w:firstRowLastColumn="0" w:lastRowFirstColumn="0" w:lastRowLastColumn="0"/>
              <w:rPr>
                <w:b/>
                <w:bCs/>
                <w:lang w:val="nl-NL"/>
              </w:rPr>
            </w:pPr>
            <w:r>
              <w:rPr>
                <w:b/>
                <w:bCs/>
                <w:lang w:val="nl-NL"/>
              </w:rPr>
              <w:t>Specificatie</w:t>
            </w:r>
          </w:p>
        </w:tc>
        <w:tc>
          <w:tcPr>
            <w:tcW w:w="3543" w:type="dxa"/>
            <w:tcBorders>
              <w:left w:val="nil"/>
              <w:right w:val="nil"/>
            </w:tcBorders>
            <w:shd w:val="clear" w:color="auto" w:fill="auto"/>
          </w:tcPr>
          <w:p w14:paraId="6EB69624" w14:textId="77777777" w:rsidR="007977E3" w:rsidRDefault="00D57CD8">
            <w:pPr>
              <w:spacing w:after="0" w:line="240" w:lineRule="auto"/>
              <w:cnfStyle w:val="000000100000" w:firstRow="0" w:lastRow="0" w:firstColumn="0" w:lastColumn="0" w:oddVBand="0" w:evenVBand="0" w:oddHBand="1" w:evenHBand="0" w:firstRowFirstColumn="0" w:firstRowLastColumn="0" w:lastRowFirstColumn="0" w:lastRowLastColumn="0"/>
              <w:rPr>
                <w:b/>
                <w:bCs/>
                <w:lang w:val="nl-NL"/>
              </w:rPr>
            </w:pPr>
            <w:r>
              <w:rPr>
                <w:b/>
                <w:bCs/>
                <w:lang w:val="nl-NL"/>
              </w:rPr>
              <w:t>Afwijking</w:t>
            </w:r>
          </w:p>
        </w:tc>
        <w:tc>
          <w:tcPr>
            <w:tcW w:w="3408" w:type="dxa"/>
            <w:tcBorders>
              <w:left w:val="nil"/>
              <w:right w:val="nil"/>
            </w:tcBorders>
            <w:shd w:val="clear" w:color="auto" w:fill="auto"/>
          </w:tcPr>
          <w:p w14:paraId="6DAAE381" w14:textId="77777777" w:rsidR="007977E3" w:rsidRDefault="00D57CD8">
            <w:pPr>
              <w:spacing w:after="0" w:line="240" w:lineRule="auto"/>
              <w:cnfStyle w:val="000000100000" w:firstRow="0" w:lastRow="0" w:firstColumn="0" w:lastColumn="0" w:oddVBand="0" w:evenVBand="0" w:oddHBand="1" w:evenHBand="0" w:firstRowFirstColumn="0" w:firstRowLastColumn="0" w:lastRowFirstColumn="0" w:lastRowLastColumn="0"/>
              <w:rPr>
                <w:b/>
                <w:bCs/>
                <w:lang w:val="nl-NL"/>
              </w:rPr>
            </w:pPr>
            <w:r>
              <w:rPr>
                <w:b/>
                <w:bCs/>
                <w:lang w:val="nl-NL"/>
              </w:rPr>
              <w:t>Oorzaak</w:t>
            </w:r>
          </w:p>
        </w:tc>
        <w:tc>
          <w:tcPr>
            <w:tcW w:w="2834" w:type="dxa"/>
            <w:tcBorders>
              <w:left w:val="nil"/>
              <w:right w:val="nil"/>
            </w:tcBorders>
            <w:shd w:val="clear" w:color="auto" w:fill="auto"/>
          </w:tcPr>
          <w:p w14:paraId="4FE6B297" w14:textId="77777777" w:rsidR="007977E3" w:rsidRDefault="00D57CD8">
            <w:pPr>
              <w:spacing w:after="0" w:line="240" w:lineRule="auto"/>
              <w:cnfStyle w:val="000000100000" w:firstRow="0" w:lastRow="0" w:firstColumn="0" w:lastColumn="0" w:oddVBand="0" w:evenVBand="0" w:oddHBand="1" w:evenHBand="0" w:firstRowFirstColumn="0" w:firstRowLastColumn="0" w:lastRowFirstColumn="0" w:lastRowLastColumn="0"/>
              <w:rPr>
                <w:b/>
                <w:bCs/>
                <w:lang w:val="nl-NL"/>
              </w:rPr>
            </w:pPr>
            <w:r>
              <w:rPr>
                <w:b/>
                <w:bCs/>
                <w:lang w:val="nl-NL"/>
              </w:rPr>
              <w:t>Impact</w:t>
            </w:r>
          </w:p>
        </w:tc>
        <w:tc>
          <w:tcPr>
            <w:tcW w:w="2497" w:type="dxa"/>
            <w:tcBorders>
              <w:left w:val="nil"/>
              <w:right w:val="nil"/>
            </w:tcBorders>
            <w:shd w:val="clear" w:color="auto" w:fill="auto"/>
          </w:tcPr>
          <w:p w14:paraId="605E25E4" w14:textId="77777777" w:rsidR="007977E3" w:rsidRDefault="00D57CD8">
            <w:pPr>
              <w:spacing w:after="0" w:line="240" w:lineRule="auto"/>
              <w:cnfStyle w:val="000000100000" w:firstRow="0" w:lastRow="0" w:firstColumn="0" w:lastColumn="0" w:oddVBand="0" w:evenVBand="0" w:oddHBand="1" w:evenHBand="0" w:firstRowFirstColumn="0" w:firstRowLastColumn="0" w:lastRowFirstColumn="0" w:lastRowLastColumn="0"/>
              <w:rPr>
                <w:b/>
                <w:bCs/>
                <w:lang w:val="nl-NL"/>
              </w:rPr>
            </w:pPr>
            <w:r>
              <w:rPr>
                <w:b/>
                <w:bCs/>
                <w:lang w:val="nl-NL"/>
              </w:rPr>
              <w:t>Maatregelen</w:t>
            </w:r>
          </w:p>
        </w:tc>
        <w:tc>
          <w:tcPr>
            <w:tcW w:w="3267" w:type="dxa"/>
            <w:tcBorders>
              <w:left w:val="nil"/>
            </w:tcBorders>
            <w:shd w:val="clear" w:color="auto" w:fill="auto"/>
          </w:tcPr>
          <w:p w14:paraId="16E09045" w14:textId="77777777" w:rsidR="007977E3" w:rsidRDefault="00D57CD8">
            <w:pPr>
              <w:spacing w:after="0" w:line="240" w:lineRule="auto"/>
              <w:cnfStyle w:val="000000100000" w:firstRow="0" w:lastRow="0" w:firstColumn="0" w:lastColumn="0" w:oddVBand="0" w:evenVBand="0" w:oddHBand="1" w:evenHBand="0" w:firstRowFirstColumn="0" w:firstRowLastColumn="0" w:lastRowFirstColumn="0" w:lastRowLastColumn="0"/>
              <w:rPr>
                <w:b/>
                <w:bCs/>
                <w:lang w:val="nl-NL"/>
              </w:rPr>
            </w:pPr>
            <w:r>
              <w:rPr>
                <w:b/>
                <w:bCs/>
                <w:lang w:val="nl-NL"/>
              </w:rPr>
              <w:t>Opmerkingen</w:t>
            </w:r>
          </w:p>
        </w:tc>
      </w:tr>
      <w:tr w:rsidR="007977E3" w:rsidRPr="00586434" w14:paraId="3AFADDF1" w14:textId="77777777" w:rsidTr="007977E3">
        <w:tc>
          <w:tcPr>
            <w:cnfStyle w:val="001000000000" w:firstRow="0" w:lastRow="0" w:firstColumn="1" w:lastColumn="0" w:oddVBand="0" w:evenVBand="0" w:oddHBand="0" w:evenHBand="0" w:firstRowFirstColumn="0" w:firstRowLastColumn="0" w:lastRowFirstColumn="0" w:lastRowLastColumn="0"/>
            <w:tcW w:w="1818" w:type="dxa"/>
            <w:tcBorders>
              <w:top w:val="nil"/>
              <w:bottom w:val="nil"/>
            </w:tcBorders>
          </w:tcPr>
          <w:p w14:paraId="102A0653" w14:textId="77777777" w:rsidR="007977E3" w:rsidRDefault="00D57CD8">
            <w:pPr>
              <w:spacing w:after="0" w:line="240" w:lineRule="auto"/>
              <w:rPr>
                <w:lang w:val="nl-NL"/>
              </w:rPr>
            </w:pPr>
            <w:r>
              <w:rPr>
                <w:lang w:val="nl-NL"/>
              </w:rPr>
              <w:t>1</w:t>
            </w:r>
          </w:p>
        </w:tc>
        <w:tc>
          <w:tcPr>
            <w:tcW w:w="3563" w:type="dxa"/>
            <w:tcBorders>
              <w:top w:val="nil"/>
              <w:left w:val="nil"/>
              <w:bottom w:val="nil"/>
              <w:right w:val="nil"/>
            </w:tcBorders>
            <w:shd w:val="clear" w:color="auto" w:fill="auto"/>
          </w:tcPr>
          <w:p w14:paraId="374157EC" w14:textId="77777777" w:rsidR="007977E3" w:rsidRDefault="00D57CD8">
            <w:pPr>
              <w:spacing w:after="0" w:line="240"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Aanmelden van een nieuwe datastandaard</w:t>
            </w:r>
          </w:p>
        </w:tc>
        <w:tc>
          <w:tcPr>
            <w:tcW w:w="3543" w:type="dxa"/>
            <w:tcBorders>
              <w:top w:val="nil"/>
              <w:left w:val="nil"/>
              <w:bottom w:val="nil"/>
              <w:right w:val="nil"/>
            </w:tcBorders>
            <w:shd w:val="clear" w:color="auto" w:fill="auto"/>
          </w:tcPr>
          <w:p w14:paraId="60D6D44C" w14:textId="77777777" w:rsidR="007977E3" w:rsidRDefault="00D57CD8">
            <w:pPr>
              <w:spacing w:after="0" w:line="240"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In principe worden geen nieuwe data standaarden aangemeld. Er is enkel een continue veranderingsbeheer</w:t>
            </w:r>
          </w:p>
        </w:tc>
        <w:tc>
          <w:tcPr>
            <w:tcW w:w="3408" w:type="dxa"/>
            <w:tcBorders>
              <w:top w:val="nil"/>
              <w:left w:val="nil"/>
              <w:bottom w:val="nil"/>
              <w:right w:val="nil"/>
            </w:tcBorders>
            <w:shd w:val="clear" w:color="auto" w:fill="auto"/>
          </w:tcPr>
          <w:p w14:paraId="2C9B401A" w14:textId="77777777" w:rsidR="007977E3" w:rsidRDefault="00D57CD8">
            <w:pPr>
              <w:spacing w:after="0" w:line="240"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Doordat de standaard in één model gedefinieerd is, worden in principe ook geen nieuwe standaarden/modellen gedefinieerd, enkel wijzigingen aan de bestaande modellen (incl. nieuwe domeinen die erbij komen)</w:t>
            </w:r>
          </w:p>
        </w:tc>
        <w:tc>
          <w:tcPr>
            <w:tcW w:w="2834" w:type="dxa"/>
            <w:tcBorders>
              <w:top w:val="nil"/>
              <w:left w:val="nil"/>
              <w:bottom w:val="nil"/>
              <w:right w:val="nil"/>
            </w:tcBorders>
            <w:shd w:val="clear" w:color="auto" w:fill="auto"/>
          </w:tcPr>
          <w:p w14:paraId="5AF6ECC7" w14:textId="77777777" w:rsidR="007977E3" w:rsidRDefault="00D57CD8">
            <w:pPr>
              <w:spacing w:after="0" w:line="240"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Mogelijks nieuwe domeinen worden uitgewerkt als wijziging van de bestaande standaard, waardoor niet potentieel nieuwe geïnteresseerden of belanghebbenden betrokken worden. </w:t>
            </w:r>
          </w:p>
        </w:tc>
        <w:tc>
          <w:tcPr>
            <w:tcW w:w="2497" w:type="dxa"/>
            <w:tcBorders>
              <w:top w:val="nil"/>
              <w:left w:val="nil"/>
              <w:bottom w:val="nil"/>
              <w:right w:val="nil"/>
            </w:tcBorders>
            <w:shd w:val="clear" w:color="auto" w:fill="auto"/>
          </w:tcPr>
          <w:p w14:paraId="4DE66522" w14:textId="77777777" w:rsidR="007977E3" w:rsidRDefault="00D57CD8">
            <w:pPr>
              <w:spacing w:after="0" w:line="240"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Indien een groot nieuw domein zal worden beschreven zal dit voorgelegd worden aan de werkgroep datastandaarden</w:t>
            </w:r>
          </w:p>
        </w:tc>
        <w:tc>
          <w:tcPr>
            <w:tcW w:w="3267" w:type="dxa"/>
            <w:tcBorders>
              <w:top w:val="nil"/>
              <w:left w:val="nil"/>
              <w:bottom w:val="nil"/>
            </w:tcBorders>
            <w:shd w:val="clear" w:color="auto" w:fill="auto"/>
          </w:tcPr>
          <w:p w14:paraId="1AC2B733" w14:textId="32DB085E" w:rsidR="007977E3" w:rsidRDefault="007977E3">
            <w:pPr>
              <w:spacing w:after="0" w:line="240" w:lineRule="auto"/>
              <w:cnfStyle w:val="000000000000" w:firstRow="0" w:lastRow="0" w:firstColumn="0" w:lastColumn="0" w:oddVBand="0" w:evenVBand="0" w:oddHBand="0" w:evenHBand="0" w:firstRowFirstColumn="0" w:firstRowLastColumn="0" w:lastRowFirstColumn="0" w:lastRowLastColumn="0"/>
              <w:rPr>
                <w:lang w:val="nl-NL"/>
              </w:rPr>
            </w:pPr>
          </w:p>
        </w:tc>
      </w:tr>
      <w:tr w:rsidR="007977E3" w:rsidRPr="00586434" w14:paraId="07265E8A" w14:textId="77777777" w:rsidTr="007977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45214C27" w14:textId="77777777" w:rsidR="007977E3" w:rsidRDefault="00D57CD8">
            <w:pPr>
              <w:spacing w:after="0" w:line="240" w:lineRule="auto"/>
              <w:rPr>
                <w:lang w:val="nl-NL"/>
              </w:rPr>
            </w:pPr>
            <w:r>
              <w:rPr>
                <w:lang w:val="nl-NL"/>
              </w:rPr>
              <w:t>2</w:t>
            </w:r>
          </w:p>
        </w:tc>
        <w:tc>
          <w:tcPr>
            <w:tcW w:w="3563" w:type="dxa"/>
            <w:tcBorders>
              <w:left w:val="nil"/>
              <w:right w:val="nil"/>
            </w:tcBorders>
            <w:shd w:val="clear" w:color="auto" w:fill="auto"/>
          </w:tcPr>
          <w:p w14:paraId="297359B3" w14:textId="77777777" w:rsidR="007977E3" w:rsidRDefault="00D57CD8">
            <w:pPr>
              <w:spacing w:after="0" w:line="240"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Veranderingsbeheer</w:t>
            </w:r>
          </w:p>
        </w:tc>
        <w:tc>
          <w:tcPr>
            <w:tcW w:w="3543" w:type="dxa"/>
            <w:tcBorders>
              <w:left w:val="nil"/>
              <w:right w:val="nil"/>
            </w:tcBorders>
            <w:shd w:val="clear" w:color="auto" w:fill="auto"/>
          </w:tcPr>
          <w:p w14:paraId="4944E039" w14:textId="0AE7F7C8" w:rsidR="007977E3" w:rsidRDefault="00D57CD8" w:rsidP="006A2FE1">
            <w:pPr>
              <w:spacing w:after="0" w:line="240"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Voorgestelde wijzigingen moeten </w:t>
            </w:r>
            <w:r>
              <w:rPr>
                <w:lang w:val="nl-NL"/>
              </w:rPr>
              <w:lastRenderedPageBreak/>
              <w:t xml:space="preserve">worden goedgekeurd door expertengroepen.  Het initiëren en opstarten en scope bepalen van een nieuwe versie zal automatisch volgen uit de goedgekeurde voorstellen. Deze zullen </w:t>
            </w:r>
            <w:r>
              <w:rPr>
                <w:b/>
                <w:bCs/>
                <w:lang w:val="nl-NL"/>
              </w:rPr>
              <w:t>niet</w:t>
            </w:r>
            <w:r>
              <w:rPr>
                <w:i/>
                <w:iCs/>
                <w:lang w:val="nl-NL"/>
              </w:rPr>
              <w:t xml:space="preserve"> </w:t>
            </w:r>
            <w:r>
              <w:rPr>
                <w:lang w:val="nl-NL"/>
              </w:rPr>
              <w:t>voorgelegd worden aan de werkgroep data standaarden</w:t>
            </w:r>
            <w:r w:rsidR="006A2FE1">
              <w:rPr>
                <w:lang w:val="nl-NL"/>
              </w:rPr>
              <w:t>, zolang ze niet buiten de scope van de standaardbestekken SB250, 260 en 270 gaan</w:t>
            </w:r>
            <w:r>
              <w:rPr>
                <w:lang w:val="nl-NL"/>
              </w:rPr>
              <w:t xml:space="preserve">.  </w:t>
            </w:r>
          </w:p>
        </w:tc>
        <w:tc>
          <w:tcPr>
            <w:tcW w:w="3408" w:type="dxa"/>
            <w:tcBorders>
              <w:left w:val="nil"/>
              <w:right w:val="nil"/>
            </w:tcBorders>
            <w:shd w:val="clear" w:color="auto" w:fill="auto"/>
          </w:tcPr>
          <w:p w14:paraId="725ACD63" w14:textId="77777777" w:rsidR="007977E3" w:rsidRDefault="00D57CD8">
            <w:pPr>
              <w:spacing w:after="0" w:line="240" w:lineRule="auto"/>
              <w:cnfStyle w:val="000000100000" w:firstRow="0" w:lastRow="0" w:firstColumn="0" w:lastColumn="0" w:oddVBand="0" w:evenVBand="0" w:oddHBand="1" w:evenHBand="0" w:firstRowFirstColumn="0" w:firstRowLastColumn="0" w:lastRowFirstColumn="0" w:lastRowLastColumn="0"/>
              <w:rPr>
                <w:lang w:val="nl-NL"/>
              </w:rPr>
            </w:pPr>
            <w:r>
              <w:rPr>
                <w:lang w:val="nl-NL"/>
              </w:rPr>
              <w:lastRenderedPageBreak/>
              <w:t xml:space="preserve">De inschatting of iets moet </w:t>
            </w:r>
            <w:r>
              <w:rPr>
                <w:lang w:val="nl-NL"/>
              </w:rPr>
              <w:lastRenderedPageBreak/>
              <w:t xml:space="preserve">gewijzigd worden wordt afgetoetst door de expertengroepen, dus een inhoudelijke aftoetsing of kennisgeving is niet noodzakelijk.  Aangezien het reeds geweten is dat de datastandaard in verandering zullen er steeds wijzigingen voorhanden zijn.  </w:t>
            </w:r>
          </w:p>
        </w:tc>
        <w:tc>
          <w:tcPr>
            <w:tcW w:w="2834" w:type="dxa"/>
            <w:tcBorders>
              <w:left w:val="nil"/>
              <w:right w:val="nil"/>
            </w:tcBorders>
            <w:shd w:val="clear" w:color="auto" w:fill="auto"/>
          </w:tcPr>
          <w:p w14:paraId="20863146" w14:textId="77777777" w:rsidR="007977E3" w:rsidRDefault="00D57CD8">
            <w:pPr>
              <w:spacing w:after="0" w:line="240" w:lineRule="auto"/>
              <w:cnfStyle w:val="000000100000" w:firstRow="0" w:lastRow="0" w:firstColumn="0" w:lastColumn="0" w:oddVBand="0" w:evenVBand="0" w:oddHBand="1" w:evenHBand="0" w:firstRowFirstColumn="0" w:firstRowLastColumn="0" w:lastRowFirstColumn="0" w:lastRowLastColumn="0"/>
              <w:rPr>
                <w:lang w:val="nl-NL"/>
              </w:rPr>
            </w:pPr>
            <w:r>
              <w:rPr>
                <w:lang w:val="nl-NL"/>
              </w:rPr>
              <w:lastRenderedPageBreak/>
              <w:t xml:space="preserve">Mogelijks zal er gestart worden met </w:t>
            </w:r>
            <w:r>
              <w:rPr>
                <w:lang w:val="nl-NL"/>
              </w:rPr>
              <w:lastRenderedPageBreak/>
              <w:t xml:space="preserve">de uitwerking van termen zonder de betrokkenheid van alle geïntereseerde organisaties.  </w:t>
            </w:r>
          </w:p>
        </w:tc>
        <w:tc>
          <w:tcPr>
            <w:tcW w:w="2497" w:type="dxa"/>
            <w:tcBorders>
              <w:left w:val="nil"/>
              <w:right w:val="nil"/>
            </w:tcBorders>
            <w:shd w:val="clear" w:color="auto" w:fill="auto"/>
          </w:tcPr>
          <w:p w14:paraId="571D09E5" w14:textId="77777777" w:rsidR="007977E3" w:rsidRDefault="00D57CD8">
            <w:pPr>
              <w:spacing w:after="0" w:line="240" w:lineRule="auto"/>
              <w:cnfStyle w:val="000000100000" w:firstRow="0" w:lastRow="0" w:firstColumn="0" w:lastColumn="0" w:oddVBand="0" w:evenVBand="0" w:oddHBand="1" w:evenHBand="0" w:firstRowFirstColumn="0" w:firstRowLastColumn="0" w:lastRowFirstColumn="0" w:lastRowLastColumn="0"/>
              <w:rPr>
                <w:lang w:val="nl-NL"/>
              </w:rPr>
            </w:pPr>
            <w:r>
              <w:rPr>
                <w:lang w:val="nl-NL"/>
              </w:rPr>
              <w:lastRenderedPageBreak/>
              <w:t xml:space="preserve">AWV zal belangrijke </w:t>
            </w:r>
            <w:r>
              <w:rPr>
                <w:lang w:val="nl-NL"/>
              </w:rPr>
              <w:lastRenderedPageBreak/>
              <w:t xml:space="preserve">wijzigingen opnemen in de toelichting aan de werkgroep data standaarden. Indien een organisatie uitdrukkelijk interesse vertoont zal AWV ervoor zorgen dat dit gefaciliteerd wordt. </w:t>
            </w:r>
          </w:p>
        </w:tc>
        <w:tc>
          <w:tcPr>
            <w:tcW w:w="3267" w:type="dxa"/>
            <w:tcBorders>
              <w:left w:val="nil"/>
            </w:tcBorders>
            <w:shd w:val="clear" w:color="auto" w:fill="auto"/>
          </w:tcPr>
          <w:p w14:paraId="10116A44" w14:textId="77777777" w:rsidR="007977E3" w:rsidRDefault="007977E3">
            <w:pPr>
              <w:spacing w:after="0" w:line="240" w:lineRule="auto"/>
              <w:cnfStyle w:val="000000100000" w:firstRow="0" w:lastRow="0" w:firstColumn="0" w:lastColumn="0" w:oddVBand="0" w:evenVBand="0" w:oddHBand="1" w:evenHBand="0" w:firstRowFirstColumn="0" w:firstRowLastColumn="0" w:lastRowFirstColumn="0" w:lastRowLastColumn="0"/>
              <w:rPr>
                <w:lang w:val="nl-NL"/>
              </w:rPr>
            </w:pPr>
          </w:p>
        </w:tc>
      </w:tr>
      <w:tr w:rsidR="007977E3" w:rsidRPr="00586434" w14:paraId="2033AA5E" w14:textId="77777777" w:rsidTr="007977E3">
        <w:tc>
          <w:tcPr>
            <w:cnfStyle w:val="001000000000" w:firstRow="0" w:lastRow="0" w:firstColumn="1" w:lastColumn="0" w:oddVBand="0" w:evenVBand="0" w:oddHBand="0" w:evenHBand="0" w:firstRowFirstColumn="0" w:firstRowLastColumn="0" w:lastRowFirstColumn="0" w:lastRowLastColumn="0"/>
            <w:tcW w:w="1818" w:type="dxa"/>
            <w:tcBorders>
              <w:top w:val="nil"/>
              <w:bottom w:val="nil"/>
            </w:tcBorders>
          </w:tcPr>
          <w:p w14:paraId="66059192" w14:textId="77777777" w:rsidR="007977E3" w:rsidRDefault="00D57CD8">
            <w:pPr>
              <w:spacing w:after="0" w:line="240" w:lineRule="auto"/>
              <w:rPr>
                <w:b w:val="0"/>
                <w:bCs w:val="0"/>
                <w:lang w:val="nl-NL"/>
              </w:rPr>
            </w:pPr>
            <w:r>
              <w:rPr>
                <w:b w:val="0"/>
                <w:bCs w:val="0"/>
                <w:lang w:val="nl-NL"/>
              </w:rPr>
              <w:t>3</w:t>
            </w:r>
          </w:p>
        </w:tc>
        <w:tc>
          <w:tcPr>
            <w:tcW w:w="3563" w:type="dxa"/>
            <w:tcBorders>
              <w:top w:val="nil"/>
              <w:left w:val="nil"/>
              <w:bottom w:val="nil"/>
              <w:right w:val="nil"/>
            </w:tcBorders>
            <w:shd w:val="clear" w:color="auto" w:fill="auto"/>
          </w:tcPr>
          <w:p w14:paraId="7EAE8C24" w14:textId="77777777" w:rsidR="007977E3" w:rsidRDefault="00D57CD8">
            <w:pPr>
              <w:spacing w:after="0" w:line="240"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Feedback en betrokkenheid van stakeholders, gedragenheid</w:t>
            </w:r>
          </w:p>
        </w:tc>
        <w:tc>
          <w:tcPr>
            <w:tcW w:w="3543" w:type="dxa"/>
            <w:tcBorders>
              <w:top w:val="nil"/>
              <w:left w:val="nil"/>
              <w:bottom w:val="nil"/>
              <w:right w:val="nil"/>
            </w:tcBorders>
            <w:shd w:val="clear" w:color="auto" w:fill="auto"/>
          </w:tcPr>
          <w:p w14:paraId="094335D2" w14:textId="00196FD4" w:rsidR="007977E3" w:rsidRDefault="00D57CD8" w:rsidP="006A2FE1">
            <w:pPr>
              <w:spacing w:after="0" w:line="240"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Aangezien de datastandaard in constante beweging is, is er geen specifieke oproep tot bijdragen. </w:t>
            </w:r>
            <w:r w:rsidR="006A2FE1">
              <w:rPr>
                <w:lang w:val="nl-NL"/>
              </w:rPr>
              <w:t xml:space="preserve">Belanghebbende mogen continu wijzigingen of vragen of verduidelijkingen melden via de nodige en beschikbare fora. </w:t>
            </w:r>
            <w:r>
              <w:rPr>
                <w:lang w:val="nl-NL"/>
              </w:rPr>
              <w:t xml:space="preserve">Daarnaast worden de afwijkingen voorbereidt en besproken </w:t>
            </w:r>
            <w:r w:rsidR="006A2FE1">
              <w:rPr>
                <w:lang w:val="nl-NL"/>
              </w:rPr>
              <w:t xml:space="preserve">met expertengroepen of afgevaardigden. </w:t>
            </w:r>
          </w:p>
        </w:tc>
        <w:tc>
          <w:tcPr>
            <w:tcW w:w="3408" w:type="dxa"/>
            <w:tcBorders>
              <w:top w:val="nil"/>
              <w:left w:val="nil"/>
              <w:bottom w:val="nil"/>
              <w:right w:val="nil"/>
            </w:tcBorders>
            <w:shd w:val="clear" w:color="auto" w:fill="auto"/>
          </w:tcPr>
          <w:p w14:paraId="72746CC3" w14:textId="77777777" w:rsidR="007977E3" w:rsidRDefault="00D57CD8">
            <w:pPr>
              <w:spacing w:after="0" w:line="240"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De contante stroom aan wijzigingsafspraken dikwijls verspreid over verschillende aspecten van de data standaard zouden vereisen dat alle organisaties permanent moeten bevraagd worden en hun goedkeuring geven. Door dit in besloten expertencomités te bespreken word er sneller tot een gefundeerde modellering gekomen. </w:t>
            </w:r>
          </w:p>
        </w:tc>
        <w:tc>
          <w:tcPr>
            <w:tcW w:w="2834" w:type="dxa"/>
            <w:tcBorders>
              <w:top w:val="nil"/>
              <w:left w:val="nil"/>
              <w:bottom w:val="nil"/>
              <w:right w:val="nil"/>
            </w:tcBorders>
            <w:shd w:val="clear" w:color="auto" w:fill="auto"/>
          </w:tcPr>
          <w:p w14:paraId="777D6CDF" w14:textId="77777777" w:rsidR="007977E3" w:rsidRDefault="00D57CD8">
            <w:pPr>
              <w:spacing w:after="0" w:line="240"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Beperktere gedragenheid: namelijk enkel door de organisaties die actief betrokken waren in het veranderingsproces. </w:t>
            </w:r>
          </w:p>
        </w:tc>
        <w:tc>
          <w:tcPr>
            <w:tcW w:w="2497" w:type="dxa"/>
            <w:tcBorders>
              <w:top w:val="nil"/>
              <w:left w:val="nil"/>
              <w:bottom w:val="nil"/>
              <w:right w:val="nil"/>
            </w:tcBorders>
            <w:shd w:val="clear" w:color="auto" w:fill="auto"/>
          </w:tcPr>
          <w:p w14:paraId="21C6A6EB" w14:textId="77777777" w:rsidR="007977E3" w:rsidRDefault="00D57CD8">
            <w:pPr>
              <w:spacing w:after="0" w:line="240"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De publieke review zo breed mogelijk uitdragen. Afspraken maken met Informatie Vlaanderen over de gebruikte kanalen en doelpubliek.</w:t>
            </w:r>
          </w:p>
        </w:tc>
        <w:tc>
          <w:tcPr>
            <w:tcW w:w="3267" w:type="dxa"/>
            <w:tcBorders>
              <w:top w:val="nil"/>
              <w:left w:val="nil"/>
              <w:bottom w:val="nil"/>
            </w:tcBorders>
            <w:shd w:val="clear" w:color="auto" w:fill="auto"/>
          </w:tcPr>
          <w:p w14:paraId="5CFE3B3E" w14:textId="77777777" w:rsidR="007977E3" w:rsidRDefault="007977E3">
            <w:pPr>
              <w:spacing w:after="0" w:line="240" w:lineRule="auto"/>
              <w:cnfStyle w:val="000000000000" w:firstRow="0" w:lastRow="0" w:firstColumn="0" w:lastColumn="0" w:oddVBand="0" w:evenVBand="0" w:oddHBand="0" w:evenHBand="0" w:firstRowFirstColumn="0" w:firstRowLastColumn="0" w:lastRowFirstColumn="0" w:lastRowLastColumn="0"/>
              <w:rPr>
                <w:lang w:val="nl-NL"/>
              </w:rPr>
            </w:pPr>
          </w:p>
        </w:tc>
      </w:tr>
      <w:tr w:rsidR="007977E3" w:rsidRPr="00586434" w14:paraId="56D3E7BC" w14:textId="77777777" w:rsidTr="007977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791BA0C0" w14:textId="77777777" w:rsidR="007977E3" w:rsidRDefault="00D57CD8">
            <w:pPr>
              <w:spacing w:after="0" w:line="240" w:lineRule="auto"/>
              <w:rPr>
                <w:b w:val="0"/>
                <w:bCs w:val="0"/>
                <w:lang w:val="nl-NL"/>
              </w:rPr>
            </w:pPr>
            <w:r>
              <w:rPr>
                <w:b w:val="0"/>
                <w:bCs w:val="0"/>
                <w:lang w:val="nl-NL"/>
              </w:rPr>
              <w:t>4</w:t>
            </w:r>
          </w:p>
        </w:tc>
        <w:tc>
          <w:tcPr>
            <w:tcW w:w="3563" w:type="dxa"/>
            <w:tcBorders>
              <w:left w:val="nil"/>
              <w:right w:val="nil"/>
            </w:tcBorders>
            <w:shd w:val="clear" w:color="auto" w:fill="auto"/>
          </w:tcPr>
          <w:p w14:paraId="33F2E654" w14:textId="77777777" w:rsidR="007977E3" w:rsidRDefault="00D57CD8">
            <w:pPr>
              <w:spacing w:after="0" w:line="240"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Wegenenverkeer.data.vlaanderen.be als persistent domein voor de publicatie. </w:t>
            </w:r>
          </w:p>
        </w:tc>
        <w:tc>
          <w:tcPr>
            <w:tcW w:w="3543" w:type="dxa"/>
            <w:tcBorders>
              <w:left w:val="nil"/>
              <w:right w:val="nil"/>
            </w:tcBorders>
            <w:shd w:val="clear" w:color="auto" w:fill="auto"/>
          </w:tcPr>
          <w:p w14:paraId="087AF2AB" w14:textId="77777777" w:rsidR="007977E3" w:rsidRDefault="00D57CD8">
            <w:pPr>
              <w:spacing w:after="0" w:line="240"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De termen worden gepubliceerd op het domein wegenenverkeer.data.vlaanderen.be</w:t>
            </w:r>
          </w:p>
        </w:tc>
        <w:tc>
          <w:tcPr>
            <w:tcW w:w="3408" w:type="dxa"/>
            <w:tcBorders>
              <w:left w:val="nil"/>
              <w:right w:val="nil"/>
            </w:tcBorders>
            <w:shd w:val="clear" w:color="auto" w:fill="auto"/>
          </w:tcPr>
          <w:p w14:paraId="6FBC4EE7" w14:textId="77777777" w:rsidR="007977E3" w:rsidRDefault="00D57CD8">
            <w:pPr>
              <w:spacing w:after="0" w:line="240"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Zowel de omvang als de koppeling met de specifieke gevolgd goverance methode motiveren deze keuze</w:t>
            </w:r>
          </w:p>
        </w:tc>
        <w:tc>
          <w:tcPr>
            <w:tcW w:w="2834" w:type="dxa"/>
            <w:tcBorders>
              <w:left w:val="nil"/>
              <w:right w:val="nil"/>
            </w:tcBorders>
            <w:shd w:val="clear" w:color="auto" w:fill="auto"/>
          </w:tcPr>
          <w:p w14:paraId="262BEA62" w14:textId="77777777" w:rsidR="007977E3" w:rsidRDefault="00D57CD8">
            <w:pPr>
              <w:spacing w:after="0" w:line="240"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Mogelijks kunnen gelijkaardige termen gedefinieerd worden in beide domein.</w:t>
            </w:r>
          </w:p>
        </w:tc>
        <w:tc>
          <w:tcPr>
            <w:tcW w:w="2497" w:type="dxa"/>
            <w:tcBorders>
              <w:left w:val="nil"/>
              <w:right w:val="nil"/>
            </w:tcBorders>
            <w:shd w:val="clear" w:color="auto" w:fill="auto"/>
          </w:tcPr>
          <w:p w14:paraId="7DCB6BD1" w14:textId="77777777" w:rsidR="007977E3" w:rsidRDefault="00D57CD8">
            <w:pPr>
              <w:spacing w:after="0" w:line="240"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Regelmatig coherentie overleg tussen AWV en AIV.</w:t>
            </w:r>
          </w:p>
        </w:tc>
        <w:tc>
          <w:tcPr>
            <w:tcW w:w="3267" w:type="dxa"/>
            <w:tcBorders>
              <w:left w:val="nil"/>
            </w:tcBorders>
            <w:shd w:val="clear" w:color="auto" w:fill="auto"/>
          </w:tcPr>
          <w:p w14:paraId="7FF4364B" w14:textId="77777777" w:rsidR="007977E3" w:rsidRDefault="007977E3">
            <w:pPr>
              <w:spacing w:after="0" w:line="240" w:lineRule="auto"/>
              <w:cnfStyle w:val="000000100000" w:firstRow="0" w:lastRow="0" w:firstColumn="0" w:lastColumn="0" w:oddVBand="0" w:evenVBand="0" w:oddHBand="1" w:evenHBand="0" w:firstRowFirstColumn="0" w:firstRowLastColumn="0" w:lastRowFirstColumn="0" w:lastRowLastColumn="0"/>
              <w:rPr>
                <w:lang w:val="nl-NL"/>
              </w:rPr>
            </w:pPr>
          </w:p>
        </w:tc>
      </w:tr>
    </w:tbl>
    <w:p w14:paraId="1A6E0751" w14:textId="77777777" w:rsidR="007977E3" w:rsidRPr="00665459" w:rsidRDefault="007977E3">
      <w:pPr>
        <w:rPr>
          <w:lang w:val="nl-BE"/>
        </w:rPr>
      </w:pPr>
    </w:p>
    <w:sectPr w:rsidR="007977E3" w:rsidRPr="00665459">
      <w:headerReference w:type="default" r:id="rId16"/>
      <w:footerReference w:type="default" r:id="rId17"/>
      <w:pgSz w:w="23811" w:h="16838" w:orient="landscape"/>
      <w:pgMar w:top="1440" w:right="1440" w:bottom="1440" w:left="1440" w:header="720" w:footer="720" w:gutter="0"/>
      <w:cols w:space="708"/>
      <w:formProt w:val="0"/>
      <w:docGrid w:linePitch="360" w:charSpace="409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FC29CE" w16cid:durableId="22A97FCF"/>
  <w16cid:commentId w16cid:paraId="19DC9729" w16cid:durableId="22A97FD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2F020B" w14:textId="77777777" w:rsidR="00B70A49" w:rsidRDefault="00B70A49">
      <w:pPr>
        <w:spacing w:after="0" w:line="240" w:lineRule="auto"/>
      </w:pPr>
      <w:r>
        <w:separator/>
      </w:r>
    </w:p>
  </w:endnote>
  <w:endnote w:type="continuationSeparator" w:id="0">
    <w:p w14:paraId="3DB431B5" w14:textId="77777777" w:rsidR="00B70A49" w:rsidRDefault="00B70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9" w:type="dxa"/>
      <w:tblLook w:val="06A0" w:firstRow="1" w:lastRow="0" w:firstColumn="1" w:lastColumn="0" w:noHBand="1" w:noVBand="1"/>
    </w:tblPr>
    <w:tblGrid>
      <w:gridCol w:w="3119"/>
      <w:gridCol w:w="3120"/>
      <w:gridCol w:w="3120"/>
    </w:tblGrid>
    <w:tr w:rsidR="007977E3" w14:paraId="4096AD24" w14:textId="77777777">
      <w:tc>
        <w:tcPr>
          <w:tcW w:w="3119" w:type="dxa"/>
          <w:shd w:val="clear" w:color="auto" w:fill="auto"/>
        </w:tcPr>
        <w:p w14:paraId="3CB752EE" w14:textId="77777777" w:rsidR="007977E3" w:rsidRDefault="007977E3">
          <w:pPr>
            <w:pStyle w:val="Header"/>
            <w:ind w:left="-115"/>
          </w:pPr>
        </w:p>
      </w:tc>
      <w:tc>
        <w:tcPr>
          <w:tcW w:w="3120" w:type="dxa"/>
          <w:shd w:val="clear" w:color="auto" w:fill="auto"/>
        </w:tcPr>
        <w:p w14:paraId="5FF54B00" w14:textId="77777777" w:rsidR="007977E3" w:rsidRDefault="007977E3">
          <w:pPr>
            <w:pStyle w:val="Header"/>
            <w:jc w:val="center"/>
          </w:pPr>
        </w:p>
      </w:tc>
      <w:tc>
        <w:tcPr>
          <w:tcW w:w="3120" w:type="dxa"/>
          <w:shd w:val="clear" w:color="auto" w:fill="auto"/>
        </w:tcPr>
        <w:p w14:paraId="604B3755" w14:textId="77777777" w:rsidR="007977E3" w:rsidRDefault="007977E3">
          <w:pPr>
            <w:pStyle w:val="Header"/>
            <w:ind w:right="-115"/>
            <w:jc w:val="right"/>
          </w:pPr>
        </w:p>
      </w:tc>
    </w:tr>
  </w:tbl>
  <w:p w14:paraId="6F7D222E" w14:textId="77777777" w:rsidR="007977E3" w:rsidRDefault="007977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4E0DFE" w14:textId="77777777" w:rsidR="007977E3" w:rsidRDefault="007977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207FEE" w14:textId="77777777" w:rsidR="00B70A49" w:rsidRDefault="00B70A49">
      <w:pPr>
        <w:spacing w:after="0" w:line="240" w:lineRule="auto"/>
      </w:pPr>
      <w:r>
        <w:separator/>
      </w:r>
    </w:p>
  </w:footnote>
  <w:footnote w:type="continuationSeparator" w:id="0">
    <w:p w14:paraId="1123E050" w14:textId="77777777" w:rsidR="00B70A49" w:rsidRDefault="00B70A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9" w:type="dxa"/>
      <w:tblLook w:val="06A0" w:firstRow="1" w:lastRow="0" w:firstColumn="1" w:lastColumn="0" w:noHBand="1" w:noVBand="1"/>
    </w:tblPr>
    <w:tblGrid>
      <w:gridCol w:w="3119"/>
      <w:gridCol w:w="3120"/>
      <w:gridCol w:w="3120"/>
    </w:tblGrid>
    <w:tr w:rsidR="007977E3" w14:paraId="48B77D9D" w14:textId="77777777">
      <w:tc>
        <w:tcPr>
          <w:tcW w:w="3119" w:type="dxa"/>
          <w:shd w:val="clear" w:color="auto" w:fill="auto"/>
        </w:tcPr>
        <w:p w14:paraId="0F0B776C" w14:textId="77777777" w:rsidR="007977E3" w:rsidRDefault="00D57CD8">
          <w:pPr>
            <w:pStyle w:val="Header"/>
            <w:ind w:left="-115"/>
          </w:pPr>
          <w:r>
            <w:rPr>
              <w:noProof/>
              <w:lang w:val="nl-BE" w:eastAsia="nl-BE"/>
            </w:rPr>
            <w:drawing>
              <wp:inline distT="0" distB="0" distL="0" distR="0" wp14:anchorId="25DE760F" wp14:editId="6263D1AC">
                <wp:extent cx="1038225" cy="476250"/>
                <wp:effectExtent l="0" t="0" r="0" b="0"/>
                <wp:docPr id="1" name="Picture 1671838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71838718"/>
                        <pic:cNvPicPr>
                          <a:picLocks noChangeAspect="1" noChangeArrowheads="1"/>
                        </pic:cNvPicPr>
                      </pic:nvPicPr>
                      <pic:blipFill>
                        <a:blip r:embed="rId1"/>
                        <a:stretch>
                          <a:fillRect/>
                        </a:stretch>
                      </pic:blipFill>
                      <pic:spPr bwMode="auto">
                        <a:xfrm>
                          <a:off x="0" y="0"/>
                          <a:ext cx="1038225" cy="476250"/>
                        </a:xfrm>
                        <a:prstGeom prst="rect">
                          <a:avLst/>
                        </a:prstGeom>
                      </pic:spPr>
                    </pic:pic>
                  </a:graphicData>
                </a:graphic>
              </wp:inline>
            </w:drawing>
          </w:r>
        </w:p>
      </w:tc>
      <w:tc>
        <w:tcPr>
          <w:tcW w:w="3120" w:type="dxa"/>
          <w:shd w:val="clear" w:color="auto" w:fill="auto"/>
        </w:tcPr>
        <w:p w14:paraId="45F11BC3" w14:textId="77777777" w:rsidR="007977E3" w:rsidRDefault="007977E3">
          <w:pPr>
            <w:pStyle w:val="Header"/>
            <w:jc w:val="center"/>
          </w:pPr>
        </w:p>
      </w:tc>
      <w:tc>
        <w:tcPr>
          <w:tcW w:w="3120" w:type="dxa"/>
          <w:shd w:val="clear" w:color="auto" w:fill="auto"/>
        </w:tcPr>
        <w:p w14:paraId="4DC2E427" w14:textId="77777777" w:rsidR="007977E3" w:rsidRDefault="007977E3">
          <w:pPr>
            <w:pStyle w:val="Header"/>
            <w:ind w:right="-115"/>
            <w:jc w:val="right"/>
          </w:pPr>
        </w:p>
      </w:tc>
    </w:tr>
  </w:tbl>
  <w:p w14:paraId="425ADAE2" w14:textId="77777777" w:rsidR="007977E3" w:rsidRDefault="007977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87E7C" w14:textId="77777777" w:rsidR="007977E3" w:rsidRDefault="007977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6A79CB"/>
    <w:multiLevelType w:val="multilevel"/>
    <w:tmpl w:val="767AC44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DB12B3A"/>
    <w:multiLevelType w:val="multilevel"/>
    <w:tmpl w:val="23445B2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7E3"/>
    <w:rsid w:val="000F4C52"/>
    <w:rsid w:val="00171AAE"/>
    <w:rsid w:val="00172264"/>
    <w:rsid w:val="00362E77"/>
    <w:rsid w:val="00424E83"/>
    <w:rsid w:val="004B6F5A"/>
    <w:rsid w:val="004D06D3"/>
    <w:rsid w:val="004E5C04"/>
    <w:rsid w:val="00586434"/>
    <w:rsid w:val="00665459"/>
    <w:rsid w:val="006A2FE1"/>
    <w:rsid w:val="007236DC"/>
    <w:rsid w:val="007977E3"/>
    <w:rsid w:val="007C0239"/>
    <w:rsid w:val="008B1A5F"/>
    <w:rsid w:val="00936A91"/>
    <w:rsid w:val="00AA1B48"/>
    <w:rsid w:val="00B45D59"/>
    <w:rsid w:val="00B70A49"/>
    <w:rsid w:val="00D57CD8"/>
    <w:rsid w:val="00E052D2"/>
    <w:rsid w:val="00F6576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5B2DE"/>
  <w15:docId w15:val="{60D8667E-1207-4149-9455-11C6F84C1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5D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5D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Mention1">
    <w:name w:val="Mention1"/>
    <w:basedOn w:val="DefaultParagraphFont"/>
    <w:uiPriority w:val="99"/>
    <w:unhideWhenUsed/>
    <w:qFormat/>
    <w:rPr>
      <w:color w:val="2B579A"/>
      <w:shd w:val="clear" w:color="auto" w:fill="E6E6E6"/>
    </w:rPr>
  </w:style>
  <w:style w:type="character" w:customStyle="1" w:styleId="Internetkoppeling">
    <w:name w:val="Internetkoppeling"/>
    <w:basedOn w:val="DefaultParagraphFont"/>
    <w:uiPriority w:val="99"/>
    <w:unhideWhenUsed/>
    <w:rPr>
      <w:color w:val="0563C1" w:themeColor="hyperlink"/>
      <w:u w:val="single"/>
    </w:rPr>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6629AC"/>
    <w:rPr>
      <w:rFonts w:ascii="Segoe UI" w:hAnsi="Segoe UI" w:cs="Segoe UI"/>
      <w:sz w:val="18"/>
      <w:szCs w:val="18"/>
    </w:rPr>
  </w:style>
  <w:style w:type="character" w:styleId="FollowedHyperlink">
    <w:name w:val="FollowedHyperlink"/>
    <w:basedOn w:val="DefaultParagraphFont"/>
    <w:uiPriority w:val="99"/>
    <w:semiHidden/>
    <w:unhideWhenUsed/>
    <w:qFormat/>
    <w:rsid w:val="008C6D1F"/>
    <w:rPr>
      <w:color w:val="954F72" w:themeColor="followedHyperlink"/>
      <w:u w:val="single"/>
    </w:rPr>
  </w:style>
  <w:style w:type="character" w:customStyle="1" w:styleId="Heading2Char">
    <w:name w:val="Heading 2 Char"/>
    <w:basedOn w:val="DefaultParagraphFont"/>
    <w:link w:val="Heading2"/>
    <w:uiPriority w:val="9"/>
    <w:qFormat/>
    <w:rsid w:val="00E85D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E85DE0"/>
    <w:rPr>
      <w:rFonts w:asciiTheme="majorHAnsi" w:eastAsiaTheme="majorEastAsia" w:hAnsiTheme="majorHAnsi" w:cstheme="majorBidi"/>
      <w:color w:val="1F3763" w:themeColor="accent1" w:themeShade="7F"/>
      <w:sz w:val="24"/>
      <w:szCs w:val="24"/>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
      <w:sz w:val="56"/>
      <w:szCs w:val="5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CommentSubjectChar">
    <w:name w:val="Comment Subject Char"/>
    <w:basedOn w:val="CommentTextChar"/>
    <w:link w:val="CommentSubject"/>
    <w:uiPriority w:val="99"/>
    <w:semiHidden/>
    <w:qFormat/>
    <w:rsid w:val="00661986"/>
    <w:rPr>
      <w:b/>
      <w:bCs/>
      <w:sz w:val="20"/>
      <w:szCs w:val="20"/>
    </w:rPr>
  </w:style>
  <w:style w:type="character" w:customStyle="1" w:styleId="ListLabel1">
    <w:name w:val="ListLabel 1"/>
    <w:qFormat/>
    <w:rPr>
      <w:rFonts w:eastAsia="Calibri" w:cs="Calibri"/>
    </w:rPr>
  </w:style>
  <w:style w:type="character" w:customStyle="1" w:styleId="ListLabel2">
    <w:name w:val="ListLabel 2"/>
    <w:qFormat/>
    <w:rPr>
      <w:rFonts w:eastAsia="Calibri" w:cs="Calibri"/>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alibri"/>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Calibri" w:cs="Calibri"/>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Calibri" w:cs="Calibri"/>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alibri"/>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alibri"/>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alibri"/>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alibri"/>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alibri"/>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alibri"/>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ascii="Calibri" w:eastAsia="Calibri" w:hAnsi="Calibri" w:cs="Calibri"/>
      <w:lang w:val="nl-NL"/>
    </w:rPr>
  </w:style>
  <w:style w:type="character" w:customStyle="1" w:styleId="Indexkoppeling">
    <w:name w:val="Indexkoppeling"/>
    <w:qFormat/>
  </w:style>
  <w:style w:type="paragraph" w:customStyle="1" w:styleId="Kop">
    <w:name w:val="Kop"/>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BalloonText">
    <w:name w:val="Balloon Text"/>
    <w:basedOn w:val="Normal"/>
    <w:link w:val="BalloonTextChar"/>
    <w:uiPriority w:val="99"/>
    <w:semiHidden/>
    <w:unhideWhenUsed/>
    <w:qFormat/>
    <w:rsid w:val="006629AC"/>
    <w:pPr>
      <w:spacing w:after="0" w:line="240" w:lineRule="auto"/>
    </w:pPr>
    <w:rPr>
      <w:rFonts w:ascii="Segoe UI" w:hAnsi="Segoe UI" w:cs="Segoe UI"/>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
      <w:sz w:val="56"/>
      <w:szCs w:val="56"/>
    </w:r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Heading">
    <w:name w:val="TOC Heading"/>
    <w:basedOn w:val="Heading1"/>
    <w:next w:val="Normal"/>
    <w:uiPriority w:val="39"/>
    <w:unhideWhenUsed/>
    <w:qFormat/>
    <w:rsid w:val="003B145B"/>
  </w:style>
  <w:style w:type="paragraph" w:styleId="TOC1">
    <w:name w:val="toc 1"/>
    <w:basedOn w:val="Normal"/>
    <w:next w:val="Normal"/>
    <w:autoRedefine/>
    <w:uiPriority w:val="39"/>
    <w:unhideWhenUsed/>
    <w:rsid w:val="003B145B"/>
    <w:pPr>
      <w:spacing w:after="100"/>
    </w:pPr>
  </w:style>
  <w:style w:type="paragraph" w:styleId="TOC2">
    <w:name w:val="toc 2"/>
    <w:basedOn w:val="Normal"/>
    <w:next w:val="Normal"/>
    <w:autoRedefine/>
    <w:uiPriority w:val="39"/>
    <w:unhideWhenUsed/>
    <w:rsid w:val="003B145B"/>
    <w:pPr>
      <w:spacing w:after="100"/>
      <w:ind w:left="220"/>
    </w:pPr>
  </w:style>
  <w:style w:type="paragraph" w:styleId="CommentSubject">
    <w:name w:val="annotation subject"/>
    <w:basedOn w:val="CommentText"/>
    <w:next w:val="CommentText"/>
    <w:link w:val="CommentSubjectChar"/>
    <w:uiPriority w:val="99"/>
    <w:semiHidden/>
    <w:unhideWhenUsed/>
    <w:qFormat/>
    <w:rsid w:val="00661986"/>
    <w:rPr>
      <w:b/>
      <w:bC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Accent21">
    <w:name w:val="Grid Table 1 Light - Accent 21"/>
    <w:basedOn w:val="TableNormal"/>
    <w:uiPriority w:val="46"/>
    <w:rsid w:val="003B145B"/>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customStyle="1" w:styleId="ListTable3-Accent41">
    <w:name w:val="List Table 3 - Accent 41"/>
    <w:basedOn w:val="TableNormal"/>
    <w:uiPriority w:val="48"/>
    <w:rsid w:val="003B145B"/>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paragraph" w:styleId="Revision">
    <w:name w:val="Revision"/>
    <w:hidden/>
    <w:uiPriority w:val="99"/>
    <w:semiHidden/>
    <w:rsid w:val="004D06D3"/>
  </w:style>
  <w:style w:type="character" w:styleId="Hyperlink">
    <w:name w:val="Hyperlink"/>
    <w:basedOn w:val="DefaultParagraphFont"/>
    <w:uiPriority w:val="99"/>
    <w:unhideWhenUsed/>
    <w:rsid w:val="00936A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ata.vlaanderen.be/cms/Proces_en_methode_voor_de_erkenning_van_datastandaarden_v1.0.pdf"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ta.vlaanderen.be/standaarden/" TargetMode="External"/><Relationship Id="rId5" Type="http://schemas.openxmlformats.org/officeDocument/2006/relationships/numbering" Target="numbering.xml"/><Relationship Id="rId15" Type="http://schemas.openxmlformats.org/officeDocument/2006/relationships/hyperlink" Target="https://data.vlaanderen.be/cms/Proces_en_methode_voor_de_erkenning_van_datastandaarden_v1.0.pdf"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 xmlns="d8af5a5f-e2e6-468c-9f28-f81d99523fe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13" ma:contentTypeDescription="Create a new document." ma:contentTypeScope="" ma:versionID="5b6a7d29ef24a1719c09a37ee85abc93">
  <xsd:schema xmlns:xsd="http://www.w3.org/2001/XMLSchema" xmlns:xs="http://www.w3.org/2001/XMLSchema" xmlns:p="http://schemas.microsoft.com/office/2006/metadata/properties" xmlns:ns2="abd5de4e-6ecd-4522-a9f4-1c24c7648312" xmlns:ns3="d8af5a5f-e2e6-468c-9f28-f81d99523fed" targetNamespace="http://schemas.microsoft.com/office/2006/metadata/properties" ma:root="true" ma:fieldsID="17cf4d18dd5aa99747e127e6623c0d64" ns2:_="" ns3:_="">
    <xsd:import namespace="abd5de4e-6ecd-4522-a9f4-1c24c7648312"/>
    <xsd:import namespace="d8af5a5f-e2e6-468c-9f28-f81d99523fe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Comment"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Comment" ma:index="16" nillable="true" ma:displayName="Comment" ma:description="Een woordje uitleg" ma:format="Dropdown" ma:internalName="Comment">
      <xsd:simpleType>
        <xsd:restriction base="dms:Text">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B7DC4-532A-4B45-A610-4AF617E877BB}">
  <ds:schemaRefs>
    <ds:schemaRef ds:uri="http://schemas.microsoft.com/sharepoint/v3/contenttype/forms"/>
  </ds:schemaRefs>
</ds:datastoreItem>
</file>

<file path=customXml/itemProps2.xml><?xml version="1.0" encoding="utf-8"?>
<ds:datastoreItem xmlns:ds="http://schemas.openxmlformats.org/officeDocument/2006/customXml" ds:itemID="{F55E701A-A085-4ADE-BB92-B8AFE2D41504}">
  <ds:schemaRefs>
    <ds:schemaRef ds:uri="http://schemas.microsoft.com/office/2006/metadata/properties"/>
    <ds:schemaRef ds:uri="http://schemas.microsoft.com/office/infopath/2007/PartnerControls"/>
    <ds:schemaRef ds:uri="d8af5a5f-e2e6-468c-9f28-f81d99523fed"/>
  </ds:schemaRefs>
</ds:datastoreItem>
</file>

<file path=customXml/itemProps3.xml><?xml version="1.0" encoding="utf-8"?>
<ds:datastoreItem xmlns:ds="http://schemas.openxmlformats.org/officeDocument/2006/customXml" ds:itemID="{04B1194B-D38B-408C-862E-890F3927C0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D870135-18AB-492A-8F54-3F1B7E65E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6</Pages>
  <Words>1893</Words>
  <Characters>10414</Characters>
  <Application>Microsoft Office Word</Application>
  <DocSecurity>0</DocSecurity>
  <Lines>86</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Vlaamse Overheid</Company>
  <LinksUpToDate>false</LinksUpToDate>
  <CharactersWithSpaces>12283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Vlassenroot Eveline</dc:creator>
  <cp:lastModifiedBy>Vercauteren Laurens</cp:lastModifiedBy>
  <cp:revision>7</cp:revision>
  <cp:lastPrinted>2020-11-18T13:34:00Z</cp:lastPrinted>
  <dcterms:created xsi:type="dcterms:W3CDTF">2020-07-03T08:53:00Z</dcterms:created>
  <dcterms:modified xsi:type="dcterms:W3CDTF">2020-11-18T17:24:00Z</dcterms:modified>
  <dc:language>nl-BE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0x0101007D2FA61B056BF04BB41EAF8746BED8CA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