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5D63" w14:textId="77777777" w:rsidR="00537323" w:rsidRDefault="00537323" w:rsidP="00537323">
      <w:pPr>
        <w:pStyle w:val="Kop1"/>
        <w:numPr>
          <w:ilvl w:val="0"/>
          <w:numId w:val="1"/>
        </w:numPr>
      </w:pPr>
      <w:r>
        <w:t>Erkenningscriteria m.b.t. de kwaliteit van de gegevens</w:t>
      </w:r>
    </w:p>
    <w:p w14:paraId="1A9A63AD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A137DE" w14:paraId="726ED772" w14:textId="77777777" w:rsidTr="00A137DE">
        <w:tc>
          <w:tcPr>
            <w:tcW w:w="9062" w:type="dxa"/>
            <w:gridSpan w:val="6"/>
          </w:tcPr>
          <w:p w14:paraId="2FEEACFB" w14:textId="77777777" w:rsidR="00A137DE" w:rsidRDefault="00537323">
            <w:r w:rsidRPr="0038031F">
              <w:rPr>
                <w:color w:val="0070C0"/>
              </w:rPr>
              <w:t>De juistheid, de actualiteit, de volledigheid en de nauwkeurigheid, d.w.z. de kwaliteit van de gegevens is duidelijk beschreven in gegevensspecificaties die toelaten dat de behaalde kwaliteit hiertegen kan worden beoordeeld</w:t>
            </w:r>
          </w:p>
        </w:tc>
      </w:tr>
      <w:tr w:rsidR="00A137DE" w14:paraId="029E92FA" w14:textId="77777777" w:rsidTr="00A137DE">
        <w:tc>
          <w:tcPr>
            <w:tcW w:w="9062" w:type="dxa"/>
            <w:gridSpan w:val="6"/>
            <w:shd w:val="clear" w:color="auto" w:fill="BFBFBF" w:themeFill="background1" w:themeFillShade="BF"/>
          </w:tcPr>
          <w:p w14:paraId="214C2E72" w14:textId="4978278A" w:rsidR="00A137DE" w:rsidRPr="00DD080B" w:rsidRDefault="00DD080B" w:rsidP="00DD080B">
            <w:pPr>
              <w:jc w:val="center"/>
              <w:rPr>
                <w:b/>
                <w:bCs/>
              </w:rPr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A137DE" w14:paraId="79C75C96" w14:textId="77777777" w:rsidTr="00A137DE">
        <w:tc>
          <w:tcPr>
            <w:tcW w:w="9062" w:type="dxa"/>
            <w:gridSpan w:val="6"/>
          </w:tcPr>
          <w:p w14:paraId="18791FD8" w14:textId="0FF67464" w:rsidR="00E970CD" w:rsidRDefault="00E970CD" w:rsidP="004652E9">
            <w:r>
              <w:t xml:space="preserve">In de omzendbrief Discimus is vermeld wat </w:t>
            </w:r>
            <w:r w:rsidR="004652E9">
              <w:t xml:space="preserve">en </w:t>
            </w:r>
            <w:r>
              <w:t xml:space="preserve">wanneer de scholen moeten registreren in Discimus : </w:t>
            </w:r>
            <w:r w:rsidR="00901AAC">
              <w:t>Vb. “</w:t>
            </w:r>
            <w:r w:rsidR="00901AAC">
              <w:rPr>
                <w:rFonts w:ascii="Trebuchet MS" w:hAnsi="Trebuchet MS"/>
                <w:color w:val="333333"/>
                <w:sz w:val="23"/>
                <w:szCs w:val="23"/>
                <w:shd w:val="clear" w:color="auto" w:fill="FFFFFF"/>
              </w:rPr>
              <w:t>De uitwisseling van deze leerlingengegevens via Discimus gebeurt binnen de 7 kalenderdagen na de inschrijving en – in het geval van een snellere </w:t>
            </w:r>
            <w:r w:rsidR="00901AAC">
              <w:rPr>
                <w:rFonts w:ascii="Trebuchet MS" w:hAnsi="Trebuchet MS"/>
                <w:color w:val="333333"/>
                <w:sz w:val="23"/>
                <w:szCs w:val="23"/>
              </w:rPr>
              <w:t>instap </w:t>
            </w:r>
            <w:r w:rsidR="00901AAC">
              <w:rPr>
                <w:rFonts w:ascii="Trebuchet MS" w:hAnsi="Trebuchet MS"/>
                <w:color w:val="333333"/>
                <w:sz w:val="23"/>
                <w:szCs w:val="23"/>
                <w:shd w:val="clear" w:color="auto" w:fill="FFFFFF"/>
              </w:rPr>
              <w:t xml:space="preserve">– uiterlijk op de dag van de start van de lesbijwoning.” : </w:t>
            </w:r>
            <w:hyperlink r:id="rId10" w:history="1">
              <w:r w:rsidR="00645675" w:rsidRPr="0096656D">
                <w:rPr>
                  <w:rStyle w:val="Hyperlink"/>
                  <w:rFonts w:ascii="Trebuchet MS" w:hAnsi="Trebuchet MS"/>
                  <w:sz w:val="23"/>
                  <w:szCs w:val="23"/>
                  <w:shd w:val="clear" w:color="auto" w:fill="FFFFFF"/>
                </w:rPr>
                <w:t>https://data-onderwijs.vlaanderen.be/edulex/document.aspx?docid=14347</w:t>
              </w:r>
            </w:hyperlink>
            <w:r w:rsidR="00645675">
              <w:rPr>
                <w:rFonts w:ascii="Trebuchet MS" w:hAnsi="Trebuchet MS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A137DE" w14:paraId="5BC0C563" w14:textId="77777777" w:rsidTr="00A137DE">
        <w:tc>
          <w:tcPr>
            <w:tcW w:w="4531" w:type="dxa"/>
            <w:gridSpan w:val="3"/>
            <w:shd w:val="clear" w:color="auto" w:fill="BFBFBF" w:themeFill="background1" w:themeFillShade="BF"/>
          </w:tcPr>
          <w:p w14:paraId="7037E365" w14:textId="38147EAB" w:rsidR="00A137DE" w:rsidRPr="000A28B5" w:rsidRDefault="00DD080B" w:rsidP="000A28B5">
            <w:pPr>
              <w:jc w:val="center"/>
              <w:rPr>
                <w:b/>
                <w:bCs/>
              </w:rPr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2B1B921A" w14:textId="6D5BABD9" w:rsidR="00A137DE" w:rsidRPr="000A28B5" w:rsidRDefault="000A28B5" w:rsidP="000A28B5">
            <w:pPr>
              <w:jc w:val="center"/>
              <w:rPr>
                <w:b/>
                <w:bCs/>
              </w:rPr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A137DE" w14:paraId="65DCE77B" w14:textId="77777777" w:rsidTr="00A137DE">
        <w:tc>
          <w:tcPr>
            <w:tcW w:w="4531" w:type="dxa"/>
            <w:gridSpan w:val="3"/>
          </w:tcPr>
          <w:p w14:paraId="0D614DEB" w14:textId="266E4416" w:rsidR="00A137DE" w:rsidRDefault="00645675">
            <w:r>
              <w:t>Het kwaliteitsniveau is beschreven.</w:t>
            </w:r>
          </w:p>
        </w:tc>
        <w:tc>
          <w:tcPr>
            <w:tcW w:w="4531" w:type="dxa"/>
            <w:gridSpan w:val="3"/>
          </w:tcPr>
          <w:p w14:paraId="68F6F9E0" w14:textId="20C1876C" w:rsidR="00A137DE" w:rsidRDefault="00645675">
            <w:r>
              <w:t>De controle is nog niet ingebouwd in een dashboard.</w:t>
            </w:r>
          </w:p>
        </w:tc>
      </w:tr>
      <w:tr w:rsidR="00A137DE" w14:paraId="06805275" w14:textId="77777777" w:rsidTr="000A28B5">
        <w:tc>
          <w:tcPr>
            <w:tcW w:w="9062" w:type="dxa"/>
            <w:gridSpan w:val="6"/>
            <w:shd w:val="clear" w:color="auto" w:fill="BFBFBF" w:themeFill="background1" w:themeFillShade="BF"/>
          </w:tcPr>
          <w:p w14:paraId="66A9431B" w14:textId="7E21EE4F" w:rsidR="00A137DE" w:rsidRPr="000A28B5" w:rsidRDefault="000A28B5" w:rsidP="000A28B5">
            <w:pPr>
              <w:jc w:val="center"/>
              <w:rPr>
                <w:b/>
                <w:bCs/>
              </w:rPr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A137DE" w14:paraId="20BAAB4C" w14:textId="77777777" w:rsidTr="00A137DE">
        <w:tc>
          <w:tcPr>
            <w:tcW w:w="1812" w:type="dxa"/>
            <w:shd w:val="clear" w:color="auto" w:fill="FF0000"/>
          </w:tcPr>
          <w:p w14:paraId="03E7F859" w14:textId="77777777" w:rsidR="00A137DE" w:rsidRPr="00A137DE" w:rsidRDefault="00A137DE" w:rsidP="00A137DE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752F1764" w14:textId="77777777" w:rsidR="00A137DE" w:rsidRDefault="00A137DE" w:rsidP="00A137DE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2AA145D9" w14:textId="77777777" w:rsidR="00A137DE" w:rsidRDefault="00A137DE" w:rsidP="00A137DE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08016CAD" w14:textId="77777777" w:rsidR="00A137DE" w:rsidRDefault="00A137DE" w:rsidP="00A137DE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39B2F054" w14:textId="77777777" w:rsidR="00A137DE" w:rsidRDefault="00A137DE" w:rsidP="00A137DE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A137DE" w14:paraId="057337B0" w14:textId="77777777" w:rsidTr="00A137DE">
        <w:tc>
          <w:tcPr>
            <w:tcW w:w="1812" w:type="dxa"/>
          </w:tcPr>
          <w:p w14:paraId="344A41DA" w14:textId="77777777" w:rsidR="00A137DE" w:rsidRDefault="00A137DE"/>
        </w:tc>
        <w:tc>
          <w:tcPr>
            <w:tcW w:w="1812" w:type="dxa"/>
          </w:tcPr>
          <w:p w14:paraId="1FCD075D" w14:textId="77777777" w:rsidR="00A137DE" w:rsidRDefault="00A137DE"/>
        </w:tc>
        <w:tc>
          <w:tcPr>
            <w:tcW w:w="1812" w:type="dxa"/>
            <w:gridSpan w:val="2"/>
          </w:tcPr>
          <w:p w14:paraId="17A032FC" w14:textId="1E0CA276" w:rsidR="00A137DE" w:rsidRDefault="002F5096" w:rsidP="002F5096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77D0A9DC" w14:textId="77777777" w:rsidR="00A137DE" w:rsidRDefault="00A137DE"/>
        </w:tc>
        <w:tc>
          <w:tcPr>
            <w:tcW w:w="1813" w:type="dxa"/>
          </w:tcPr>
          <w:p w14:paraId="1B116598" w14:textId="77777777" w:rsidR="00A137DE" w:rsidRDefault="00A137DE"/>
        </w:tc>
      </w:tr>
    </w:tbl>
    <w:p w14:paraId="302C08A5" w14:textId="77777777" w:rsidR="00537323" w:rsidRDefault="00537323"/>
    <w:p w14:paraId="24547424" w14:textId="3813BCA3" w:rsidR="003241F3" w:rsidRDefault="003241F3">
      <w:r>
        <w:br w:type="page"/>
      </w:r>
    </w:p>
    <w:p w14:paraId="683899A5" w14:textId="77777777" w:rsidR="00A137DE" w:rsidRDefault="00A137D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0DB63410" w14:textId="77777777" w:rsidTr="00537323">
        <w:tc>
          <w:tcPr>
            <w:tcW w:w="9062" w:type="dxa"/>
            <w:gridSpan w:val="6"/>
          </w:tcPr>
          <w:p w14:paraId="56F84685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nodige technische voorzieningen bestaan om de kwaliteit van de gegevens te garanderen</w:t>
            </w:r>
          </w:p>
        </w:tc>
      </w:tr>
      <w:tr w:rsidR="00537323" w14:paraId="40050558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21F7F1D4" w14:textId="7561E606" w:rsidR="00537323" w:rsidRDefault="00B156AF" w:rsidP="005674CC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01490F07" w14:textId="77777777" w:rsidTr="00537323">
        <w:tc>
          <w:tcPr>
            <w:tcW w:w="9062" w:type="dxa"/>
            <w:gridSpan w:val="6"/>
          </w:tcPr>
          <w:p w14:paraId="6CBE8662" w14:textId="3D87486F" w:rsidR="00F730C6" w:rsidRDefault="00F730C6" w:rsidP="00537323">
            <w:r>
              <w:t xml:space="preserve">De gegevens in Discimus </w:t>
            </w:r>
            <w:r w:rsidR="00140EA7">
              <w:t>worden door de scholen opgestuurd via hun leerlingenadministratiepakket.  Dit pakket beval al controles op de correctheid van de gegevens.  De</w:t>
            </w:r>
            <w:r w:rsidR="00F135E4">
              <w:t>ze pakketten worden gebouwd door schoolsoftwareleveranciers die beschikken over een uitgebreide beschrijving van de regels die in Discimus ingebouwd zijn.</w:t>
            </w:r>
          </w:p>
          <w:p w14:paraId="0941DE22" w14:textId="77777777" w:rsidR="00537323" w:rsidRDefault="00D03325" w:rsidP="00537323">
            <w:r>
              <w:t xml:space="preserve">De automatische controles in Discimus garanderen dat er geen gegevens binnenkomen </w:t>
            </w:r>
            <w:r w:rsidR="007E3D3B">
              <w:t xml:space="preserve">die niet voldoen aan de vereisten.  Bovendien hebben de scholen de mogelijkheid om leerlingenlijsten </w:t>
            </w:r>
            <w:r w:rsidR="00F730C6">
              <w:t>op te vragen.  Deze lijsten bevatten de opgestuurde gegevens van hun leerlingen waardoor een manuele controle nodig is.</w:t>
            </w:r>
          </w:p>
          <w:p w14:paraId="0454BA7C" w14:textId="7980A8ED" w:rsidR="00EE5D2C" w:rsidRDefault="00EE5D2C" w:rsidP="00537323">
            <w:r>
              <w:t xml:space="preserve">Gespecialiseerde gebruikers beschikken over alle tabellen van Discimus om daar kwaliteitscontroles op uit te voeren.  Deze tabellen zijn </w:t>
            </w:r>
            <w:r w:rsidR="008B54C8">
              <w:t>alleen bereikbaar mits naleving van de toegangsregels.</w:t>
            </w:r>
          </w:p>
          <w:p w14:paraId="57DD881A" w14:textId="3717801D" w:rsidR="00211E81" w:rsidRDefault="00211E81" w:rsidP="00537323">
            <w:r>
              <w:t xml:space="preserve">Het verificatieteam beschikt over schermen in de toepassing Discimus </w:t>
            </w:r>
            <w:r w:rsidR="00A02A59">
              <w:t>om de gegevens te controleren.</w:t>
            </w:r>
          </w:p>
          <w:p w14:paraId="1BAAC4B5" w14:textId="1A3CE054" w:rsidR="003026C1" w:rsidRDefault="003026C1" w:rsidP="00537323">
            <w:r>
              <w:t xml:space="preserve">Het verificatieteam beschikt over een dashboard die de kwaliteit van de door de school geleverde gegevens </w:t>
            </w:r>
            <w:r w:rsidR="00861323">
              <w:t>aangeeft.</w:t>
            </w:r>
          </w:p>
        </w:tc>
      </w:tr>
      <w:tr w:rsidR="00FF07AB" w14:paraId="7AE21873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6AD226A7" w14:textId="48D288EE" w:rsidR="00FF07AB" w:rsidRDefault="00FF07AB" w:rsidP="005674CC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1B21CDD5" w14:textId="5BAF2939" w:rsidR="00FF07AB" w:rsidRDefault="00FF07AB" w:rsidP="005674CC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FF07AB" w14:paraId="67240C3D" w14:textId="77777777" w:rsidTr="00537323">
        <w:tc>
          <w:tcPr>
            <w:tcW w:w="4531" w:type="dxa"/>
            <w:gridSpan w:val="3"/>
          </w:tcPr>
          <w:p w14:paraId="0BD8C21E" w14:textId="77777777" w:rsidR="00FF07AB" w:rsidRDefault="00A129D7" w:rsidP="00A129D7">
            <w:pPr>
              <w:pStyle w:val="Lijstalinea"/>
              <w:numPr>
                <w:ilvl w:val="0"/>
                <w:numId w:val="7"/>
              </w:numPr>
            </w:pPr>
            <w:r>
              <w:t>Controles op niveau van het pakket in de school</w:t>
            </w:r>
          </w:p>
          <w:p w14:paraId="1D9A8C4F" w14:textId="67D3A87A" w:rsidR="00A129D7" w:rsidRDefault="00A129D7" w:rsidP="00A129D7">
            <w:pPr>
              <w:pStyle w:val="Lijstalinea"/>
              <w:numPr>
                <w:ilvl w:val="0"/>
                <w:numId w:val="7"/>
              </w:numPr>
            </w:pPr>
            <w:r>
              <w:t>Controles centraal in Discimus</w:t>
            </w:r>
          </w:p>
          <w:p w14:paraId="4ED0FD32" w14:textId="7D38C1E0" w:rsidR="00A129D7" w:rsidRDefault="00CE7A3B" w:rsidP="00A129D7">
            <w:pPr>
              <w:pStyle w:val="Lijstalinea"/>
              <w:numPr>
                <w:ilvl w:val="0"/>
                <w:numId w:val="7"/>
              </w:numPr>
            </w:pPr>
            <w:r>
              <w:t>L</w:t>
            </w:r>
            <w:r w:rsidR="00A129D7">
              <w:t>eerlingenlijsten</w:t>
            </w:r>
            <w:r>
              <w:t xml:space="preserve"> </w:t>
            </w:r>
          </w:p>
        </w:tc>
        <w:tc>
          <w:tcPr>
            <w:tcW w:w="4531" w:type="dxa"/>
            <w:gridSpan w:val="3"/>
          </w:tcPr>
          <w:p w14:paraId="428E4619" w14:textId="1D7A0FC4" w:rsidR="00FF07AB" w:rsidRDefault="0078132A" w:rsidP="00BD647F">
            <w:pPr>
              <w:pStyle w:val="Lijstalinea"/>
              <w:numPr>
                <w:ilvl w:val="0"/>
                <w:numId w:val="7"/>
              </w:numPr>
            </w:pPr>
            <w:r>
              <w:t xml:space="preserve">Het opstellen van controlelijsten is gepland.  Deze controlelijsten bevatten de resultaten van geautomatiseerde controles </w:t>
            </w:r>
            <w:r w:rsidR="002778FD">
              <w:t>op het geheel.</w:t>
            </w:r>
          </w:p>
        </w:tc>
      </w:tr>
      <w:tr w:rsidR="00AD791F" w14:paraId="45D59668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6CF67439" w14:textId="1A017B5C" w:rsidR="00AD791F" w:rsidRDefault="00AD791F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AD791F" w14:paraId="6F59FA7D" w14:textId="77777777" w:rsidTr="00537323">
        <w:tc>
          <w:tcPr>
            <w:tcW w:w="1812" w:type="dxa"/>
            <w:shd w:val="clear" w:color="auto" w:fill="FF0000"/>
          </w:tcPr>
          <w:p w14:paraId="2DF7FC9B" w14:textId="77777777" w:rsidR="00AD791F" w:rsidRPr="00A137DE" w:rsidRDefault="00AD791F" w:rsidP="00AD791F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1DA2A492" w14:textId="77777777" w:rsidR="00AD791F" w:rsidRDefault="00AD791F" w:rsidP="00AD791F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03903BDA" w14:textId="77777777" w:rsidR="00AD791F" w:rsidRDefault="00AD791F" w:rsidP="00AD791F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4F54C042" w14:textId="77777777" w:rsidR="00AD791F" w:rsidRDefault="00AD791F" w:rsidP="00AD791F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0160884F" w14:textId="77777777" w:rsidR="00AD791F" w:rsidRDefault="00AD791F" w:rsidP="00AD791F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AD791F" w14:paraId="2F25D5ED" w14:textId="77777777" w:rsidTr="00537323">
        <w:tc>
          <w:tcPr>
            <w:tcW w:w="1812" w:type="dxa"/>
          </w:tcPr>
          <w:p w14:paraId="69EB8BAA" w14:textId="77777777" w:rsidR="00AD791F" w:rsidRDefault="00AD791F" w:rsidP="00AD791F"/>
        </w:tc>
        <w:tc>
          <w:tcPr>
            <w:tcW w:w="1812" w:type="dxa"/>
          </w:tcPr>
          <w:p w14:paraId="0C59E0B0" w14:textId="77777777" w:rsidR="00AD791F" w:rsidRDefault="00AD791F" w:rsidP="00AD791F"/>
        </w:tc>
        <w:tc>
          <w:tcPr>
            <w:tcW w:w="1812" w:type="dxa"/>
            <w:gridSpan w:val="2"/>
          </w:tcPr>
          <w:p w14:paraId="6F0D70F0" w14:textId="65C145EF" w:rsidR="00AD791F" w:rsidRDefault="00AD791F" w:rsidP="002F5096">
            <w:pPr>
              <w:jc w:val="center"/>
            </w:pPr>
          </w:p>
        </w:tc>
        <w:tc>
          <w:tcPr>
            <w:tcW w:w="1813" w:type="dxa"/>
          </w:tcPr>
          <w:p w14:paraId="71B29F72" w14:textId="42A4BD16" w:rsidR="00AD791F" w:rsidRDefault="002F5096" w:rsidP="002F5096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6C9BC6C8" w14:textId="77777777" w:rsidR="00AD791F" w:rsidRDefault="00AD791F" w:rsidP="00AD791F"/>
        </w:tc>
      </w:tr>
    </w:tbl>
    <w:p w14:paraId="598CB4E5" w14:textId="77777777" w:rsidR="00A137DE" w:rsidRDefault="00A137DE"/>
    <w:p w14:paraId="0604A031" w14:textId="77777777" w:rsidR="00537323" w:rsidRDefault="00537323"/>
    <w:p w14:paraId="7A8239F6" w14:textId="5E6B4660" w:rsidR="003241F3" w:rsidRDefault="003241F3">
      <w:r>
        <w:br w:type="page"/>
      </w:r>
    </w:p>
    <w:p w14:paraId="5477BF3E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3ADE0557" w14:textId="77777777" w:rsidTr="00537323">
        <w:tc>
          <w:tcPr>
            <w:tcW w:w="9062" w:type="dxa"/>
            <w:gridSpan w:val="6"/>
          </w:tcPr>
          <w:p w14:paraId="70F67B1D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nodige organisatorische voorzieningen bestaan om de kwaliteit van de gegevens te garanderen</w:t>
            </w:r>
          </w:p>
        </w:tc>
      </w:tr>
      <w:tr w:rsidR="00537323" w14:paraId="2817CCA4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727FB38B" w14:textId="47C25C41" w:rsidR="00537323" w:rsidRDefault="00B156AF" w:rsidP="005674CC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420CCF23" w14:textId="77777777" w:rsidTr="00537323">
        <w:tc>
          <w:tcPr>
            <w:tcW w:w="9062" w:type="dxa"/>
            <w:gridSpan w:val="6"/>
          </w:tcPr>
          <w:p w14:paraId="6E5ABDFF" w14:textId="77777777" w:rsidR="00537323" w:rsidRDefault="002778FD" w:rsidP="00537323">
            <w:r>
              <w:t xml:space="preserve">Het verificatieteam controleert </w:t>
            </w:r>
            <w:r w:rsidR="00562538">
              <w:t>ter plekke in de school of de gegevens die in Discimus ingebracht zijn, overeenkomen met de documenten die in de school aanwezig zijn.</w:t>
            </w:r>
            <w:r w:rsidR="00D1035D">
              <w:t xml:space="preserve">  Dit zorgt al voor een hoge graad van kwaliteit.  </w:t>
            </w:r>
          </w:p>
          <w:p w14:paraId="67431714" w14:textId="6C749259" w:rsidR="002F0985" w:rsidRDefault="002F0985" w:rsidP="00537323">
            <w:r>
              <w:t xml:space="preserve">Er is ook een team “ontsluiters” in de afdelingen beschikbaar die op basis van </w:t>
            </w:r>
            <w:r w:rsidR="00970C67">
              <w:t>query’s</w:t>
            </w:r>
            <w:r>
              <w:t xml:space="preserve"> op de databank de kwaliteit en tijdigheid van de gegevens controleren.</w:t>
            </w:r>
          </w:p>
          <w:p w14:paraId="67D0EDA4" w14:textId="4F1F4D34" w:rsidR="006A0236" w:rsidRDefault="006A0236" w:rsidP="00537323">
            <w:r>
              <w:t xml:space="preserve">De toepassing is alleen bereikbaar via </w:t>
            </w:r>
            <w:proofErr w:type="spellStart"/>
            <w:r>
              <w:t>acm</w:t>
            </w:r>
            <w:proofErr w:type="spellEnd"/>
            <w:r>
              <w:t>/</w:t>
            </w:r>
            <w:r w:rsidR="00970C67">
              <w:t>IDM</w:t>
            </w:r>
            <w:r>
              <w:t>.</w:t>
            </w:r>
          </w:p>
          <w:p w14:paraId="3637A7D2" w14:textId="77777777" w:rsidR="0004070E" w:rsidRDefault="0004070E" w:rsidP="00537323"/>
          <w:p w14:paraId="34126DD8" w14:textId="65AAC382" w:rsidR="0004070E" w:rsidRDefault="0004070E" w:rsidP="00537323">
            <w:r>
              <w:t xml:space="preserve">AGODI organiseert cursus schoolsecretariaten om </w:t>
            </w:r>
            <w:r w:rsidR="005C2CB7">
              <w:t xml:space="preserve">het aantal correcte zendingen te verhogen en het aantal foutcodes te beperken. </w:t>
            </w:r>
            <w:r w:rsidR="0073348B" w:rsidRPr="0073348B">
              <w:t>https://www.agodi.be/agodi-academie-opleidingen-voor-schoolsecretariaten</w:t>
            </w:r>
          </w:p>
        </w:tc>
      </w:tr>
      <w:tr w:rsidR="00D85B6C" w14:paraId="7C6AF443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00733920" w14:textId="4B845D85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5F633812" w14:textId="5274CC86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D85B6C" w14:paraId="31ED0DA0" w14:textId="77777777" w:rsidTr="00537323">
        <w:tc>
          <w:tcPr>
            <w:tcW w:w="4531" w:type="dxa"/>
            <w:gridSpan w:val="3"/>
          </w:tcPr>
          <w:p w14:paraId="760922ED" w14:textId="77777777" w:rsidR="00D85B6C" w:rsidRDefault="002F0985" w:rsidP="002F0985">
            <w:pPr>
              <w:pStyle w:val="Lijstalinea"/>
              <w:numPr>
                <w:ilvl w:val="0"/>
                <w:numId w:val="7"/>
              </w:numPr>
            </w:pPr>
            <w:r>
              <w:t>Verificatie ter plekke</w:t>
            </w:r>
          </w:p>
          <w:p w14:paraId="5F98049E" w14:textId="77777777" w:rsidR="00422C71" w:rsidRDefault="008B54C8" w:rsidP="002F0985">
            <w:pPr>
              <w:pStyle w:val="Lijstalinea"/>
              <w:numPr>
                <w:ilvl w:val="0"/>
                <w:numId w:val="7"/>
              </w:numPr>
            </w:pPr>
            <w:r>
              <w:t xml:space="preserve">Controles op de data in </w:t>
            </w:r>
            <w:r w:rsidR="007C7881">
              <w:t>AGODI</w:t>
            </w:r>
          </w:p>
          <w:p w14:paraId="2A5CB634" w14:textId="77777777" w:rsidR="00861323" w:rsidRDefault="00861323" w:rsidP="002F0985">
            <w:pPr>
              <w:pStyle w:val="Lijstalinea"/>
              <w:numPr>
                <w:ilvl w:val="0"/>
                <w:numId w:val="7"/>
              </w:numPr>
            </w:pPr>
            <w:r>
              <w:t xml:space="preserve">Het verificatieteam beschikt over een dashboard om de kwaliteit van de </w:t>
            </w:r>
            <w:r w:rsidR="008A5F7E">
              <w:t>levering van de gegevens door de school aan te geven.</w:t>
            </w:r>
          </w:p>
          <w:p w14:paraId="2E299EF5" w14:textId="5D128AD2" w:rsidR="00D81DA7" w:rsidRDefault="00D81DA7" w:rsidP="002F0985">
            <w:pPr>
              <w:pStyle w:val="Lijstalinea"/>
              <w:numPr>
                <w:ilvl w:val="0"/>
                <w:numId w:val="7"/>
              </w:numPr>
            </w:pPr>
            <w:r>
              <w:t>Organiseren van cursussen</w:t>
            </w:r>
          </w:p>
        </w:tc>
        <w:tc>
          <w:tcPr>
            <w:tcW w:w="4531" w:type="dxa"/>
            <w:gridSpan w:val="3"/>
          </w:tcPr>
          <w:p w14:paraId="0DC3F725" w14:textId="17FC174A" w:rsidR="00D85B6C" w:rsidRDefault="006A0236" w:rsidP="007C7881">
            <w:pPr>
              <w:pStyle w:val="Lijstalinea"/>
              <w:numPr>
                <w:ilvl w:val="0"/>
                <w:numId w:val="7"/>
              </w:numPr>
            </w:pPr>
            <w:r>
              <w:t xml:space="preserve">Er is nog geen dashboard die de kwaliteit van de gegevens op een </w:t>
            </w:r>
            <w:r w:rsidR="007C7881">
              <w:t>overzichtelijk niveau weergeeft.</w:t>
            </w:r>
          </w:p>
        </w:tc>
      </w:tr>
      <w:tr w:rsidR="000332EB" w14:paraId="55130EA1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6E307C07" w14:textId="2AC14DCA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26154E0C" w14:textId="77777777" w:rsidTr="00537323">
        <w:tc>
          <w:tcPr>
            <w:tcW w:w="1812" w:type="dxa"/>
            <w:shd w:val="clear" w:color="auto" w:fill="FF0000"/>
          </w:tcPr>
          <w:p w14:paraId="57251A84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45772699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0710A3F6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246EC8D2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491AD976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1D6AC8AF" w14:textId="77777777" w:rsidTr="00537323">
        <w:tc>
          <w:tcPr>
            <w:tcW w:w="1812" w:type="dxa"/>
          </w:tcPr>
          <w:p w14:paraId="1A5FF575" w14:textId="77777777" w:rsidR="000332EB" w:rsidRDefault="000332EB" w:rsidP="000332EB"/>
        </w:tc>
        <w:tc>
          <w:tcPr>
            <w:tcW w:w="1812" w:type="dxa"/>
          </w:tcPr>
          <w:p w14:paraId="6E584DD6" w14:textId="77777777" w:rsidR="000332EB" w:rsidRDefault="000332EB" w:rsidP="000332EB"/>
        </w:tc>
        <w:tc>
          <w:tcPr>
            <w:tcW w:w="1812" w:type="dxa"/>
            <w:gridSpan w:val="2"/>
          </w:tcPr>
          <w:p w14:paraId="4CAEFDC2" w14:textId="77777777" w:rsidR="000332EB" w:rsidRDefault="000332EB" w:rsidP="000332EB"/>
        </w:tc>
        <w:tc>
          <w:tcPr>
            <w:tcW w:w="1813" w:type="dxa"/>
          </w:tcPr>
          <w:p w14:paraId="7049CE6B" w14:textId="2D1CB513" w:rsidR="000332EB" w:rsidRDefault="00581931" w:rsidP="00581931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5A80E1FF" w14:textId="77777777" w:rsidR="000332EB" w:rsidRDefault="000332EB" w:rsidP="000332EB"/>
        </w:tc>
      </w:tr>
    </w:tbl>
    <w:p w14:paraId="24A19B45" w14:textId="77777777" w:rsidR="00537323" w:rsidRDefault="00537323"/>
    <w:p w14:paraId="66CE7AA9" w14:textId="10F09CB8" w:rsidR="003241F3" w:rsidRDefault="003241F3">
      <w:r>
        <w:br w:type="page"/>
      </w:r>
    </w:p>
    <w:p w14:paraId="79B90799" w14:textId="77777777" w:rsidR="00537323" w:rsidRDefault="00537323"/>
    <w:p w14:paraId="1A448202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117D0CF1" w14:textId="77777777" w:rsidTr="00537323">
        <w:tc>
          <w:tcPr>
            <w:tcW w:w="9062" w:type="dxa"/>
            <w:gridSpan w:val="6"/>
          </w:tcPr>
          <w:p w14:paraId="513C4DAF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nodige afspraken bestaan tussen de beheersinstantie en de gegevensinitiatoren om de kwaliteit van de gegevens te garanderen (enkel indien gewerkt wordt met gegevensinitiatoren)</w:t>
            </w:r>
          </w:p>
        </w:tc>
      </w:tr>
      <w:tr w:rsidR="00537323" w14:paraId="3C307356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05662F47" w14:textId="065A0EFF" w:rsidR="00537323" w:rsidRDefault="00B156AF" w:rsidP="005674CC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180FFAD3" w14:textId="77777777" w:rsidTr="00537323">
        <w:tc>
          <w:tcPr>
            <w:tcW w:w="9062" w:type="dxa"/>
            <w:gridSpan w:val="6"/>
          </w:tcPr>
          <w:p w14:paraId="29C57B17" w14:textId="33BE4E4B" w:rsidR="00537323" w:rsidRDefault="00863EC6" w:rsidP="00537323">
            <w:r>
              <w:t xml:space="preserve">De gegevens van Discimus </w:t>
            </w:r>
            <w:r w:rsidR="00330407">
              <w:t xml:space="preserve">worden geleverd </w:t>
            </w:r>
            <w:r w:rsidR="00307379">
              <w:t>d.m.v.  web services die opgeroepen worden door de leerlingenadministratiepakketten in de scholen.  Deze pakketten worden gebouwd door schoolsoftwareleveranciers</w:t>
            </w:r>
            <w:r w:rsidR="008461BD">
              <w:t>.  AGODI heeft een speciale helpdesk voor die schoolsoftwareleveranciers voor het melden van problemen, aandachtspunten enz.  De communicatie met die schoolsoftwareleveranciers is sterk uitgebouwd</w:t>
            </w:r>
            <w:r w:rsidR="007674E3">
              <w:t xml:space="preserve"> : er zijn ook infosessies om de plannen van de overheid voor te stellen zodat zij daarmee rekening kunnen houden in hun planning.</w:t>
            </w:r>
          </w:p>
        </w:tc>
      </w:tr>
      <w:tr w:rsidR="00D85B6C" w14:paraId="1C74A291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38161F7C" w14:textId="3CE9BA4D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43C29FAE" w14:textId="0A0AC736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D85B6C" w14:paraId="730D6F5A" w14:textId="77777777" w:rsidTr="00537323">
        <w:tc>
          <w:tcPr>
            <w:tcW w:w="4531" w:type="dxa"/>
            <w:gridSpan w:val="3"/>
          </w:tcPr>
          <w:p w14:paraId="22130449" w14:textId="3DB7ADF8" w:rsidR="00D85B6C" w:rsidRDefault="00614FA1" w:rsidP="00614FA1">
            <w:pPr>
              <w:pStyle w:val="Lijstalinea"/>
              <w:numPr>
                <w:ilvl w:val="0"/>
                <w:numId w:val="7"/>
              </w:numPr>
            </w:pPr>
            <w:r>
              <w:t xml:space="preserve">Intense contacten </w:t>
            </w:r>
            <w:r w:rsidR="00EE7D89">
              <w:t>met de schoolsoftwareleveranciers</w:t>
            </w:r>
          </w:p>
          <w:p w14:paraId="418D4BAC" w14:textId="2E4DEA79" w:rsidR="00EE7D89" w:rsidRDefault="00EE7D89" w:rsidP="00EE7D89">
            <w:pPr>
              <w:pStyle w:val="Lijstalinea"/>
              <w:numPr>
                <w:ilvl w:val="0"/>
                <w:numId w:val="7"/>
              </w:numPr>
            </w:pPr>
            <w:r>
              <w:t xml:space="preserve">Goede samenwerking met de schoolsoftwareleveranciers </w:t>
            </w:r>
          </w:p>
        </w:tc>
        <w:tc>
          <w:tcPr>
            <w:tcW w:w="4531" w:type="dxa"/>
            <w:gridSpan w:val="3"/>
          </w:tcPr>
          <w:p w14:paraId="649CEBC2" w14:textId="5CEE1AA0" w:rsidR="00D85B6C" w:rsidRDefault="00EE7D89" w:rsidP="00EE7D89">
            <w:pPr>
              <w:pStyle w:val="Lijstalinea"/>
              <w:numPr>
                <w:ilvl w:val="0"/>
                <w:numId w:val="7"/>
              </w:numPr>
            </w:pPr>
            <w:r>
              <w:t xml:space="preserve">AGODI heeft geen juridische band met die schoolsoftwareleveranciers : het zijn de scholen die een contract hebben voor hun leerlingenadministratie. </w:t>
            </w:r>
          </w:p>
        </w:tc>
      </w:tr>
      <w:tr w:rsidR="000332EB" w14:paraId="749B71F4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6575D5E4" w14:textId="5906D9B1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2A8E61AB" w14:textId="77777777" w:rsidTr="00537323">
        <w:tc>
          <w:tcPr>
            <w:tcW w:w="1812" w:type="dxa"/>
            <w:shd w:val="clear" w:color="auto" w:fill="FF0000"/>
          </w:tcPr>
          <w:p w14:paraId="0A6F8D96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7497755A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717DF0EF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0790E8C1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5D3DE531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33062841" w14:textId="77777777" w:rsidTr="00537323">
        <w:tc>
          <w:tcPr>
            <w:tcW w:w="1812" w:type="dxa"/>
          </w:tcPr>
          <w:p w14:paraId="3345A0EF" w14:textId="77777777" w:rsidR="000332EB" w:rsidRDefault="000332EB" w:rsidP="000332EB"/>
        </w:tc>
        <w:tc>
          <w:tcPr>
            <w:tcW w:w="1812" w:type="dxa"/>
          </w:tcPr>
          <w:p w14:paraId="113BB310" w14:textId="77777777" w:rsidR="000332EB" w:rsidRDefault="000332EB" w:rsidP="000332EB"/>
        </w:tc>
        <w:tc>
          <w:tcPr>
            <w:tcW w:w="1812" w:type="dxa"/>
            <w:gridSpan w:val="2"/>
          </w:tcPr>
          <w:p w14:paraId="3A51362B" w14:textId="77777777" w:rsidR="000332EB" w:rsidRDefault="000332EB" w:rsidP="000332EB"/>
        </w:tc>
        <w:tc>
          <w:tcPr>
            <w:tcW w:w="1813" w:type="dxa"/>
          </w:tcPr>
          <w:p w14:paraId="5897E2CA" w14:textId="415B594B" w:rsidR="000332EB" w:rsidRDefault="00581931" w:rsidP="00581931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55E4510C" w14:textId="77777777" w:rsidR="000332EB" w:rsidRDefault="000332EB" w:rsidP="000332EB"/>
        </w:tc>
      </w:tr>
    </w:tbl>
    <w:p w14:paraId="0E4318DD" w14:textId="6E5EC087" w:rsidR="003241F3" w:rsidRDefault="003241F3"/>
    <w:p w14:paraId="440CE238" w14:textId="77777777" w:rsidR="003241F3" w:rsidRDefault="003241F3">
      <w:r>
        <w:br w:type="page"/>
      </w:r>
    </w:p>
    <w:p w14:paraId="2E3CD25B" w14:textId="77777777" w:rsidR="00537323" w:rsidRDefault="00537323"/>
    <w:p w14:paraId="3F1D8232" w14:textId="77777777" w:rsidR="00537323" w:rsidRDefault="00537323" w:rsidP="00537323">
      <w:pPr>
        <w:pStyle w:val="Kop1"/>
        <w:numPr>
          <w:ilvl w:val="0"/>
          <w:numId w:val="1"/>
        </w:numPr>
      </w:pPr>
      <w:r>
        <w:t>Erkenningscriteria m.b.t. de bruikbaarheid van de gegevens</w:t>
      </w:r>
    </w:p>
    <w:p w14:paraId="6A187C92" w14:textId="77777777" w:rsidR="00537323" w:rsidRDefault="00537323"/>
    <w:p w14:paraId="486FE706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12114CFC" w14:textId="77777777" w:rsidTr="00537323">
        <w:tc>
          <w:tcPr>
            <w:tcW w:w="9062" w:type="dxa"/>
            <w:gridSpan w:val="6"/>
          </w:tcPr>
          <w:p w14:paraId="07FE9FEF" w14:textId="77777777" w:rsidR="00537323" w:rsidRPr="006F115B" w:rsidRDefault="00537323" w:rsidP="00537323">
            <w:pPr>
              <w:rPr>
                <w:rFonts w:ascii="Calibri" w:hAnsi="Calibri" w:cs="Calibri"/>
                <w:color w:val="0070C0"/>
                <w:sz w:val="20"/>
                <w:szCs w:val="20"/>
              </w:rPr>
            </w:pPr>
            <w:r w:rsidRPr="006F115B">
              <w:rPr>
                <w:rFonts w:ascii="Calibri" w:hAnsi="Calibri" w:cs="Calibri"/>
                <w:color w:val="0070C0"/>
                <w:sz w:val="20"/>
                <w:szCs w:val="20"/>
              </w:rPr>
              <w:t>De gegevens zijn voldoende bruikbaar, d.w.z. kunnen zinvol gebruikt worden binnen de businessprocessen van de afnemers.</w:t>
            </w:r>
          </w:p>
          <w:p w14:paraId="4E4A43A1" w14:textId="77777777" w:rsidR="00537323" w:rsidRDefault="00537323" w:rsidP="00537323"/>
        </w:tc>
      </w:tr>
      <w:tr w:rsidR="00537323" w14:paraId="24306E2C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3CC31CB0" w14:textId="1DCE8277" w:rsidR="00537323" w:rsidRDefault="00D42787" w:rsidP="005674CC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0C3FB4E1" w14:textId="77777777" w:rsidTr="00537323">
        <w:tc>
          <w:tcPr>
            <w:tcW w:w="9062" w:type="dxa"/>
            <w:gridSpan w:val="6"/>
          </w:tcPr>
          <w:p w14:paraId="7EC6A9FB" w14:textId="77777777" w:rsidR="00537323" w:rsidRDefault="006262F4" w:rsidP="00537323">
            <w:r>
              <w:t xml:space="preserve">Van in het begin bij de uitbouw van Discimus is er sterk </w:t>
            </w:r>
            <w:r w:rsidR="009A278C">
              <w:t xml:space="preserve">ingezet op niet alleen het registreren van leerlingengegevens, maar ook van terug beschikbaar stellen van </w:t>
            </w:r>
            <w:r w:rsidR="00C657B3">
              <w:t xml:space="preserve">informatie die scholen anders niet of heel moeilijk kunnen bekomen.  Zo is van kort na de start de dienst “dubbele inschrijvingen” beschikbaar gesteld.  </w:t>
            </w:r>
            <w:r w:rsidR="00740A66">
              <w:t xml:space="preserve">Met deze dienst kunnen scholen van een ingeschreven leerlingen opvragen waar die </w:t>
            </w:r>
            <w:r w:rsidR="00D31525">
              <w:t xml:space="preserve">ook </w:t>
            </w:r>
            <w:r w:rsidR="00740A66">
              <w:t>nog is ingeschreven.  Dit is informatie die scholen anders niet zouden kunnen verkrijgen.</w:t>
            </w:r>
            <w:r w:rsidR="005108FC">
              <w:t xml:space="preserve">  Dit is maar een voorbeeld.  We geven ook informatie terug over de leerlingenkenmerken, opgenomen afwezigheden, toelatingsvoorwaarden.  Allemaal </w:t>
            </w:r>
            <w:r w:rsidR="00FD6776">
              <w:t>met respect voor de privacy van de leerling.</w:t>
            </w:r>
          </w:p>
          <w:p w14:paraId="70FF467A" w14:textId="6480C000" w:rsidR="00655448" w:rsidRDefault="00970C67" w:rsidP="00537323">
            <w:r>
              <w:t>De actuele leerlingengegevens kan ook gebruikt worden voor andere afnemers zoals voor Opgroeien Regie, ongekwalificeerde uitstroom voor VDAB, …</w:t>
            </w:r>
          </w:p>
        </w:tc>
      </w:tr>
      <w:tr w:rsidR="00D85B6C" w14:paraId="382E01A6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030AC747" w14:textId="15A543E8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4F8B905C" w14:textId="3FA8B9D8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D85B6C" w14:paraId="31057746" w14:textId="77777777" w:rsidTr="00537323">
        <w:tc>
          <w:tcPr>
            <w:tcW w:w="4531" w:type="dxa"/>
            <w:gridSpan w:val="3"/>
          </w:tcPr>
          <w:p w14:paraId="50BE05FD" w14:textId="77777777" w:rsidR="00D85B6C" w:rsidRDefault="00FD6776" w:rsidP="00FD6776">
            <w:pPr>
              <w:pStyle w:val="Lijstalinea"/>
              <w:numPr>
                <w:ilvl w:val="0"/>
                <w:numId w:val="7"/>
              </w:numPr>
            </w:pPr>
            <w:r>
              <w:t>AGODI biedt die diensten aan</w:t>
            </w:r>
          </w:p>
          <w:p w14:paraId="5802212F" w14:textId="77D61646" w:rsidR="00176A55" w:rsidRDefault="00176A55" w:rsidP="00FD6776">
            <w:pPr>
              <w:pStyle w:val="Lijstalinea"/>
              <w:numPr>
                <w:ilvl w:val="0"/>
                <w:numId w:val="7"/>
              </w:numPr>
            </w:pPr>
            <w:r>
              <w:t>Tijdens de infosessies met de schoolsoftwareleveranciers wordt iedere keer gevraagd naar gewenste extra functionaliteit</w:t>
            </w:r>
            <w:r w:rsidR="00673286">
              <w:t>en</w:t>
            </w:r>
          </w:p>
        </w:tc>
        <w:tc>
          <w:tcPr>
            <w:tcW w:w="4531" w:type="dxa"/>
            <w:gridSpan w:val="3"/>
          </w:tcPr>
          <w:p w14:paraId="64BFE6C8" w14:textId="1D9D0718" w:rsidR="00D85B6C" w:rsidRDefault="00673286" w:rsidP="00673286">
            <w:pPr>
              <w:pStyle w:val="Lijstalinea"/>
              <w:numPr>
                <w:ilvl w:val="0"/>
                <w:numId w:val="7"/>
              </w:numPr>
            </w:pPr>
            <w:r>
              <w:t>Het gebeurt soms dat een schoolsoftwareleverancier deze diensten niet direct inbouwt in het pakket waardoor de scholen die dat pakket gebruiken niet kunnen beschikken over die functionaliteit.</w:t>
            </w:r>
          </w:p>
        </w:tc>
      </w:tr>
      <w:tr w:rsidR="000332EB" w14:paraId="38A9D25A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39BD927F" w14:textId="764A12B0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274F8A4D" w14:textId="77777777" w:rsidTr="00537323">
        <w:tc>
          <w:tcPr>
            <w:tcW w:w="1812" w:type="dxa"/>
            <w:shd w:val="clear" w:color="auto" w:fill="FF0000"/>
          </w:tcPr>
          <w:p w14:paraId="65F793B8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65EAEF8E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00F50224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525FD39A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4145A173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5FCF6887" w14:textId="77777777" w:rsidTr="00537323">
        <w:tc>
          <w:tcPr>
            <w:tcW w:w="1812" w:type="dxa"/>
          </w:tcPr>
          <w:p w14:paraId="3179776D" w14:textId="77777777" w:rsidR="000332EB" w:rsidRDefault="000332EB" w:rsidP="000332EB"/>
        </w:tc>
        <w:tc>
          <w:tcPr>
            <w:tcW w:w="1812" w:type="dxa"/>
          </w:tcPr>
          <w:p w14:paraId="1BE76711" w14:textId="77777777" w:rsidR="000332EB" w:rsidRDefault="000332EB" w:rsidP="000332EB"/>
        </w:tc>
        <w:tc>
          <w:tcPr>
            <w:tcW w:w="1812" w:type="dxa"/>
            <w:gridSpan w:val="2"/>
          </w:tcPr>
          <w:p w14:paraId="1769C22F" w14:textId="77777777" w:rsidR="000332EB" w:rsidRDefault="000332EB" w:rsidP="000332EB"/>
        </w:tc>
        <w:tc>
          <w:tcPr>
            <w:tcW w:w="1813" w:type="dxa"/>
          </w:tcPr>
          <w:p w14:paraId="4F4B31BB" w14:textId="687D5F58" w:rsidR="000332EB" w:rsidRDefault="00581931" w:rsidP="00581931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12BFB6AB" w14:textId="77777777" w:rsidR="000332EB" w:rsidRDefault="000332EB" w:rsidP="000332EB"/>
        </w:tc>
      </w:tr>
    </w:tbl>
    <w:p w14:paraId="32E9FBE7" w14:textId="77777777" w:rsidR="00537323" w:rsidRDefault="00537323"/>
    <w:p w14:paraId="5571A63B" w14:textId="3D4F5CD4" w:rsidR="003241F3" w:rsidRDefault="003241F3">
      <w:r>
        <w:br w:type="page"/>
      </w:r>
    </w:p>
    <w:p w14:paraId="28A90CBB" w14:textId="77777777" w:rsidR="00537323" w:rsidRDefault="00537323"/>
    <w:p w14:paraId="0403130F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3E7CDBF8" w14:textId="77777777" w:rsidTr="00537323">
        <w:tc>
          <w:tcPr>
            <w:tcW w:w="9062" w:type="dxa"/>
            <w:gridSpan w:val="6"/>
          </w:tcPr>
          <w:p w14:paraId="04FECFF7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metagegevens voldoen aan de binnen Vlaanderen geldende metadatastandaarden</w:t>
            </w:r>
          </w:p>
        </w:tc>
      </w:tr>
      <w:tr w:rsidR="00537323" w14:paraId="0D19FA44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570F9D7F" w14:textId="166FCAF4" w:rsidR="00537323" w:rsidRDefault="00D42787" w:rsidP="005674CC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544AFEDB" w14:textId="77777777" w:rsidTr="00537323">
        <w:tc>
          <w:tcPr>
            <w:tcW w:w="9062" w:type="dxa"/>
            <w:gridSpan w:val="6"/>
          </w:tcPr>
          <w:p w14:paraId="38A2B01C" w14:textId="180BBCBC" w:rsidR="00537323" w:rsidRDefault="00136DBE" w:rsidP="00537323">
            <w:r>
              <w:t xml:space="preserve">De standaarden voor de  web services die in Discimus ingebouwd zijn, zijn deze van MAGDA.   </w:t>
            </w:r>
            <w:r w:rsidR="00B26FB5">
              <w:t>De standaarden voor de gegevens zijn deze die binnen onderwijs gebuikt worden.</w:t>
            </w:r>
          </w:p>
        </w:tc>
      </w:tr>
      <w:tr w:rsidR="00D85B6C" w14:paraId="6853675D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5C200BD9" w14:textId="3791A0ED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54735A13" w14:textId="64294D8D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D85B6C" w14:paraId="6A8B9A68" w14:textId="77777777" w:rsidTr="00537323">
        <w:tc>
          <w:tcPr>
            <w:tcW w:w="4531" w:type="dxa"/>
            <w:gridSpan w:val="3"/>
          </w:tcPr>
          <w:p w14:paraId="62B13A2B" w14:textId="50A2FBBA" w:rsidR="00D85B6C" w:rsidRDefault="00B26FB5" w:rsidP="00B26FB5">
            <w:pPr>
              <w:pStyle w:val="Lijstalinea"/>
              <w:numPr>
                <w:ilvl w:val="0"/>
                <w:numId w:val="7"/>
              </w:numPr>
            </w:pPr>
            <w:r>
              <w:t xml:space="preserve">De standaarden </w:t>
            </w:r>
            <w:r w:rsidR="00330B02">
              <w:t>van onderwijs worden gebruikt.</w:t>
            </w:r>
          </w:p>
        </w:tc>
        <w:tc>
          <w:tcPr>
            <w:tcW w:w="4531" w:type="dxa"/>
            <w:gridSpan w:val="3"/>
          </w:tcPr>
          <w:p w14:paraId="4411663A" w14:textId="494D961F" w:rsidR="00D85B6C" w:rsidRDefault="00330B02" w:rsidP="00330B02">
            <w:pPr>
              <w:pStyle w:val="Lijstalinea"/>
              <w:numPr>
                <w:ilvl w:val="0"/>
                <w:numId w:val="7"/>
              </w:numPr>
            </w:pPr>
            <w:r>
              <w:t>OSLO standaarden zijn niet bewust ingebouwd.</w:t>
            </w:r>
          </w:p>
        </w:tc>
      </w:tr>
      <w:tr w:rsidR="000332EB" w14:paraId="4DAAE6A1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08AF71BC" w14:textId="3FDF9513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001D7AEC" w14:textId="77777777" w:rsidTr="00537323">
        <w:tc>
          <w:tcPr>
            <w:tcW w:w="1812" w:type="dxa"/>
            <w:shd w:val="clear" w:color="auto" w:fill="FF0000"/>
          </w:tcPr>
          <w:p w14:paraId="305E8435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3502B74D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443EDAD7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3A5E4A17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4E4D21FB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46B13B06" w14:textId="77777777" w:rsidTr="00537323">
        <w:tc>
          <w:tcPr>
            <w:tcW w:w="1812" w:type="dxa"/>
          </w:tcPr>
          <w:p w14:paraId="06014FF5" w14:textId="77777777" w:rsidR="000332EB" w:rsidRDefault="000332EB" w:rsidP="000332EB"/>
        </w:tc>
        <w:tc>
          <w:tcPr>
            <w:tcW w:w="1812" w:type="dxa"/>
          </w:tcPr>
          <w:p w14:paraId="7B652186" w14:textId="626099D1" w:rsidR="000332EB" w:rsidRDefault="00C307E1" w:rsidP="00C307E1">
            <w:pPr>
              <w:jc w:val="center"/>
            </w:pPr>
            <w:r>
              <w:t>x</w:t>
            </w:r>
          </w:p>
        </w:tc>
        <w:tc>
          <w:tcPr>
            <w:tcW w:w="1812" w:type="dxa"/>
            <w:gridSpan w:val="2"/>
          </w:tcPr>
          <w:p w14:paraId="71C410BE" w14:textId="77777777" w:rsidR="000332EB" w:rsidRDefault="000332EB" w:rsidP="000332EB"/>
        </w:tc>
        <w:tc>
          <w:tcPr>
            <w:tcW w:w="1813" w:type="dxa"/>
          </w:tcPr>
          <w:p w14:paraId="09C334D9" w14:textId="77777777" w:rsidR="000332EB" w:rsidRDefault="000332EB" w:rsidP="000332EB"/>
        </w:tc>
        <w:tc>
          <w:tcPr>
            <w:tcW w:w="1813" w:type="dxa"/>
          </w:tcPr>
          <w:p w14:paraId="20CF2AFF" w14:textId="77777777" w:rsidR="000332EB" w:rsidRDefault="000332EB" w:rsidP="000332EB"/>
        </w:tc>
      </w:tr>
    </w:tbl>
    <w:p w14:paraId="18322C79" w14:textId="77777777" w:rsidR="00537323" w:rsidRDefault="00537323"/>
    <w:p w14:paraId="57E0E8E2" w14:textId="785A21FF" w:rsidR="003241F3" w:rsidRDefault="003241F3">
      <w:r>
        <w:br w:type="page"/>
      </w:r>
    </w:p>
    <w:p w14:paraId="34D71917" w14:textId="77777777" w:rsidR="00537323" w:rsidRDefault="00537323"/>
    <w:p w14:paraId="6A531884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0BFB1A3D" w14:textId="77777777" w:rsidTr="00537323">
        <w:tc>
          <w:tcPr>
            <w:tcW w:w="9062" w:type="dxa"/>
            <w:gridSpan w:val="6"/>
          </w:tcPr>
          <w:p w14:paraId="10E067CF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metagegevens zijn beschikbaar via een portaal of zoekdiensten</w:t>
            </w:r>
          </w:p>
        </w:tc>
      </w:tr>
      <w:tr w:rsidR="00537323" w14:paraId="5FC52A7B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3B2A45D1" w14:textId="59C99D33" w:rsidR="00537323" w:rsidRDefault="00D42787" w:rsidP="005674CC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34AD0972" w14:textId="77777777" w:rsidTr="00537323">
        <w:tc>
          <w:tcPr>
            <w:tcW w:w="9062" w:type="dxa"/>
            <w:gridSpan w:val="6"/>
          </w:tcPr>
          <w:p w14:paraId="29FB9C6F" w14:textId="2FFFA585" w:rsidR="00537323" w:rsidRDefault="00242DD4" w:rsidP="00537323">
            <w:r>
              <w:t xml:space="preserve">Alle technische informatie voor het gebruik van de  web services </w:t>
            </w:r>
            <w:r w:rsidR="00EF4867">
              <w:t xml:space="preserve">, de beschrijving van de dataelementen, de businessregels zijn te vinden op een </w:t>
            </w:r>
            <w:r w:rsidR="00970C67">
              <w:t>SharePoint</w:t>
            </w:r>
            <w:r w:rsidR="00EF4867">
              <w:t xml:space="preserve"> die beschikbaar gesteld wordt aan alle afnemers van  web services van Discimus.</w:t>
            </w:r>
          </w:p>
        </w:tc>
      </w:tr>
      <w:tr w:rsidR="00D85B6C" w14:paraId="6F55615C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6D5019F3" w14:textId="2DB1B5DD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350080AE" w14:textId="148D2B99" w:rsidR="00D85B6C" w:rsidRDefault="00D85B6C" w:rsidP="005674CC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D85B6C" w14:paraId="3B4664F7" w14:textId="77777777" w:rsidTr="00537323">
        <w:tc>
          <w:tcPr>
            <w:tcW w:w="4531" w:type="dxa"/>
            <w:gridSpan w:val="3"/>
          </w:tcPr>
          <w:p w14:paraId="10CA8428" w14:textId="77777777" w:rsidR="00D85B6C" w:rsidRDefault="00EF4867" w:rsidP="00EF4867">
            <w:pPr>
              <w:pStyle w:val="Lijstalinea"/>
              <w:numPr>
                <w:ilvl w:val="0"/>
                <w:numId w:val="7"/>
              </w:numPr>
            </w:pPr>
            <w:r>
              <w:t>Goede gedetailleerde beschrijving</w:t>
            </w:r>
          </w:p>
          <w:p w14:paraId="5CFDE267" w14:textId="77777777" w:rsidR="00EF4867" w:rsidRDefault="00FA7960" w:rsidP="00EF4867">
            <w:pPr>
              <w:pStyle w:val="Lijstalinea"/>
              <w:numPr>
                <w:ilvl w:val="0"/>
                <w:numId w:val="7"/>
              </w:numPr>
            </w:pPr>
            <w:r>
              <w:t>Beveiligd beschikbaar gesteld</w:t>
            </w:r>
          </w:p>
          <w:p w14:paraId="3984F192" w14:textId="5FB56949" w:rsidR="00FA7960" w:rsidRDefault="00FA7960" w:rsidP="00EF4867">
            <w:pPr>
              <w:pStyle w:val="Lijstalinea"/>
              <w:numPr>
                <w:ilvl w:val="0"/>
                <w:numId w:val="7"/>
              </w:numPr>
            </w:pPr>
            <w:r>
              <w:t>Soap standaarden</w:t>
            </w:r>
          </w:p>
        </w:tc>
        <w:tc>
          <w:tcPr>
            <w:tcW w:w="4531" w:type="dxa"/>
            <w:gridSpan w:val="3"/>
          </w:tcPr>
          <w:p w14:paraId="3C343E4A" w14:textId="7D7DBBD9" w:rsidR="00D85B6C" w:rsidRDefault="00AC5CE5" w:rsidP="00FA7960">
            <w:pPr>
              <w:pStyle w:val="Lijstalinea"/>
              <w:numPr>
                <w:ilvl w:val="0"/>
                <w:numId w:val="7"/>
              </w:numPr>
            </w:pPr>
            <w:r>
              <w:t xml:space="preserve">Het zijn geen REST  web services waardoor de mogelijkheden daarvan niet kunnen gebruikt worden : een standaard portaal </w:t>
            </w:r>
            <w:r w:rsidR="00970C67">
              <w:t>bv</w:t>
            </w:r>
            <w:r>
              <w:t>.</w:t>
            </w:r>
          </w:p>
        </w:tc>
      </w:tr>
      <w:tr w:rsidR="000332EB" w14:paraId="7FA55109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169C2788" w14:textId="41E012A5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4F78A00E" w14:textId="77777777" w:rsidTr="00537323">
        <w:tc>
          <w:tcPr>
            <w:tcW w:w="1812" w:type="dxa"/>
            <w:shd w:val="clear" w:color="auto" w:fill="FF0000"/>
          </w:tcPr>
          <w:p w14:paraId="0422D529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4758485B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20DCA952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4C587599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78A43B01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2E7A35D4" w14:textId="77777777" w:rsidTr="00537323">
        <w:tc>
          <w:tcPr>
            <w:tcW w:w="1812" w:type="dxa"/>
          </w:tcPr>
          <w:p w14:paraId="61A11B51" w14:textId="77777777" w:rsidR="000332EB" w:rsidRDefault="000332EB" w:rsidP="000332EB"/>
        </w:tc>
        <w:tc>
          <w:tcPr>
            <w:tcW w:w="1812" w:type="dxa"/>
          </w:tcPr>
          <w:p w14:paraId="7CA1D148" w14:textId="77777777" w:rsidR="000332EB" w:rsidRDefault="000332EB" w:rsidP="000332EB"/>
        </w:tc>
        <w:tc>
          <w:tcPr>
            <w:tcW w:w="1812" w:type="dxa"/>
            <w:gridSpan w:val="2"/>
          </w:tcPr>
          <w:p w14:paraId="66E6B5B5" w14:textId="77777777" w:rsidR="000332EB" w:rsidRDefault="000332EB" w:rsidP="000332EB"/>
        </w:tc>
        <w:tc>
          <w:tcPr>
            <w:tcW w:w="1813" w:type="dxa"/>
          </w:tcPr>
          <w:p w14:paraId="3BD5D904" w14:textId="2EF9E1E2" w:rsidR="000332EB" w:rsidRDefault="00C307E1" w:rsidP="00C307E1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15F33663" w14:textId="77777777" w:rsidR="000332EB" w:rsidRDefault="000332EB" w:rsidP="000332EB"/>
        </w:tc>
      </w:tr>
    </w:tbl>
    <w:p w14:paraId="216FD2E5" w14:textId="10373232" w:rsidR="003241F3" w:rsidRDefault="003241F3"/>
    <w:p w14:paraId="308D6BE7" w14:textId="77777777" w:rsidR="003241F3" w:rsidRDefault="003241F3">
      <w:r>
        <w:br w:type="page"/>
      </w:r>
    </w:p>
    <w:p w14:paraId="4C4F1075" w14:textId="77777777" w:rsidR="00537323" w:rsidRDefault="00537323"/>
    <w:p w14:paraId="59FA5C9A" w14:textId="77777777" w:rsidR="00537323" w:rsidRDefault="00537323" w:rsidP="00537323">
      <w:pPr>
        <w:pStyle w:val="Kop1"/>
        <w:numPr>
          <w:ilvl w:val="0"/>
          <w:numId w:val="1"/>
        </w:numPr>
      </w:pPr>
      <w:r>
        <w:t>Erkenningscriteria m.b.t. het beheer van de gegevens</w:t>
      </w:r>
    </w:p>
    <w:p w14:paraId="74BF6FBC" w14:textId="77777777" w:rsidR="00537323" w:rsidRDefault="00537323"/>
    <w:p w14:paraId="6F2E7FCC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4F14AFE2" w14:textId="77777777" w:rsidTr="00537323">
        <w:tc>
          <w:tcPr>
            <w:tcW w:w="9062" w:type="dxa"/>
            <w:gridSpan w:val="6"/>
          </w:tcPr>
          <w:p w14:paraId="65E9A2BA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beheersinstantie zorgt voor de gepaste infrastructuur, de gepaste processen en de gepaste organisatie</w:t>
            </w:r>
          </w:p>
        </w:tc>
      </w:tr>
      <w:tr w:rsidR="00537323" w14:paraId="56ACFDC4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67AC43AC" w14:textId="26A08DF6" w:rsidR="00537323" w:rsidRDefault="00D42787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47CF96A4" w14:textId="77777777" w:rsidTr="00537323">
        <w:tc>
          <w:tcPr>
            <w:tcW w:w="9062" w:type="dxa"/>
            <w:gridSpan w:val="6"/>
          </w:tcPr>
          <w:p w14:paraId="0C6C4C95" w14:textId="77777777" w:rsidR="00537323" w:rsidRDefault="00FC6DE5" w:rsidP="00FC6DE5">
            <w:pPr>
              <w:pStyle w:val="Lijstalinea"/>
              <w:numPr>
                <w:ilvl w:val="0"/>
                <w:numId w:val="7"/>
              </w:numPr>
            </w:pPr>
            <w:r>
              <w:t>Infrastructuur : zie exploitatiedossier</w:t>
            </w:r>
            <w:r w:rsidR="00B9747A">
              <w:t xml:space="preserve"> van HBplus </w:t>
            </w:r>
          </w:p>
          <w:p w14:paraId="782E3436" w14:textId="77777777" w:rsidR="00B9747A" w:rsidRDefault="00366FE6" w:rsidP="00FC6DE5">
            <w:pPr>
              <w:pStyle w:val="Lijstalinea"/>
              <w:numPr>
                <w:ilvl w:val="0"/>
                <w:numId w:val="7"/>
              </w:numPr>
            </w:pPr>
            <w:r>
              <w:t>Er zijn verschillende rollen gedefinieerd</w:t>
            </w:r>
            <w:r w:rsidR="00F62DC9">
              <w:t xml:space="preserve"> : </w:t>
            </w:r>
          </w:p>
          <w:p w14:paraId="5FBD12C2" w14:textId="7626A78E" w:rsidR="00F62DC9" w:rsidRDefault="00F62DC9" w:rsidP="00F62DC9">
            <w:pPr>
              <w:pStyle w:val="Lijstalinea"/>
              <w:numPr>
                <w:ilvl w:val="1"/>
                <w:numId w:val="7"/>
              </w:numPr>
            </w:pPr>
            <w:r>
              <w:t xml:space="preserve">Applicatiebeheerder </w:t>
            </w:r>
          </w:p>
          <w:p w14:paraId="1C512EC1" w14:textId="249AA781" w:rsidR="00F62DC9" w:rsidRDefault="002F3293" w:rsidP="00F62DC9">
            <w:pPr>
              <w:pStyle w:val="Lijstalinea"/>
              <w:numPr>
                <w:ilvl w:val="1"/>
                <w:numId w:val="7"/>
              </w:numPr>
            </w:pPr>
            <w:r>
              <w:t>Projectleider ICT</w:t>
            </w:r>
          </w:p>
          <w:p w14:paraId="683FC8D5" w14:textId="77777777" w:rsidR="002F3293" w:rsidRDefault="002F3293" w:rsidP="00F62DC9">
            <w:pPr>
              <w:pStyle w:val="Lijstalinea"/>
              <w:numPr>
                <w:ilvl w:val="1"/>
                <w:numId w:val="7"/>
              </w:numPr>
            </w:pPr>
            <w:r>
              <w:t xml:space="preserve">Analist </w:t>
            </w:r>
          </w:p>
          <w:p w14:paraId="1C21DF69" w14:textId="50E6313A" w:rsidR="002F3293" w:rsidRDefault="002F3293" w:rsidP="00F62DC9">
            <w:pPr>
              <w:pStyle w:val="Lijstalinea"/>
              <w:numPr>
                <w:ilvl w:val="1"/>
                <w:numId w:val="7"/>
              </w:numPr>
            </w:pPr>
            <w:r>
              <w:t>Technical lead</w:t>
            </w:r>
          </w:p>
          <w:p w14:paraId="29FB5956" w14:textId="2AAD9800" w:rsidR="00352627" w:rsidRDefault="00677436" w:rsidP="00F62DC9">
            <w:pPr>
              <w:pStyle w:val="Lijstalinea"/>
              <w:numPr>
                <w:ilvl w:val="1"/>
                <w:numId w:val="7"/>
              </w:numPr>
            </w:pPr>
            <w:r>
              <w:t>T</w:t>
            </w:r>
            <w:r w:rsidR="00352627">
              <w:t>oepassingsmanager</w:t>
            </w:r>
            <w:r>
              <w:t xml:space="preserve"> </w:t>
            </w:r>
          </w:p>
          <w:p w14:paraId="3B322ED3" w14:textId="68B91461" w:rsidR="002F3293" w:rsidRDefault="002F3293" w:rsidP="00F62DC9">
            <w:pPr>
              <w:pStyle w:val="Lijstalinea"/>
              <w:numPr>
                <w:ilvl w:val="1"/>
                <w:numId w:val="7"/>
              </w:numPr>
            </w:pPr>
            <w:r>
              <w:t>Programmeurs</w:t>
            </w:r>
          </w:p>
          <w:p w14:paraId="2B338463" w14:textId="7D69068B" w:rsidR="002F3293" w:rsidRDefault="002F3293" w:rsidP="00F62DC9">
            <w:pPr>
              <w:pStyle w:val="Lijstalinea"/>
              <w:numPr>
                <w:ilvl w:val="1"/>
                <w:numId w:val="7"/>
              </w:numPr>
            </w:pPr>
            <w:r>
              <w:t>Domeinbeheerder</w:t>
            </w:r>
          </w:p>
          <w:p w14:paraId="5BB561B7" w14:textId="77777777" w:rsidR="002F3293" w:rsidRDefault="00A0434A" w:rsidP="00A0434A">
            <w:pPr>
              <w:pStyle w:val="Lijstalinea"/>
              <w:numPr>
                <w:ilvl w:val="0"/>
                <w:numId w:val="7"/>
              </w:numPr>
            </w:pPr>
            <w:r>
              <w:t xml:space="preserve">Ook de nodige overlegorganen zijn operationeel </w:t>
            </w:r>
          </w:p>
          <w:p w14:paraId="6F8BE658" w14:textId="77777777" w:rsidR="00A0434A" w:rsidRDefault="00A0434A" w:rsidP="00A0434A">
            <w:pPr>
              <w:pStyle w:val="Lijstalinea"/>
              <w:numPr>
                <w:ilvl w:val="1"/>
                <w:numId w:val="7"/>
              </w:numPr>
            </w:pPr>
            <w:r>
              <w:t xml:space="preserve">COVA : college van afdelingshoofden : neemt de </w:t>
            </w:r>
            <w:r w:rsidR="00001578">
              <w:t>organisatorische beslissingen</w:t>
            </w:r>
          </w:p>
          <w:p w14:paraId="24CC3F79" w14:textId="77777777" w:rsidR="00001578" w:rsidRDefault="00001578" w:rsidP="00A0434A">
            <w:pPr>
              <w:pStyle w:val="Lijstalinea"/>
              <w:numPr>
                <w:ilvl w:val="1"/>
                <w:numId w:val="7"/>
              </w:numPr>
            </w:pPr>
            <w:r>
              <w:t xml:space="preserve">Stuurgroep Instellingen en Leerlingen AGODI </w:t>
            </w:r>
          </w:p>
          <w:p w14:paraId="5E073A5A" w14:textId="033AB5E0" w:rsidR="00001578" w:rsidRDefault="00001578" w:rsidP="00A0434A">
            <w:pPr>
              <w:pStyle w:val="Lijstalinea"/>
              <w:numPr>
                <w:ilvl w:val="1"/>
                <w:numId w:val="7"/>
              </w:numPr>
            </w:pPr>
            <w:r>
              <w:t xml:space="preserve">Werkgroep Instellingen en Leerlingen </w:t>
            </w:r>
            <w:r w:rsidR="0039127E">
              <w:t>AGODI</w:t>
            </w:r>
          </w:p>
          <w:p w14:paraId="76A684F8" w14:textId="618D1268" w:rsidR="0039127E" w:rsidRDefault="0039127E" w:rsidP="0039127E">
            <w:pPr>
              <w:pStyle w:val="Lijstalinea"/>
              <w:numPr>
                <w:ilvl w:val="0"/>
                <w:numId w:val="7"/>
              </w:numPr>
            </w:pPr>
            <w:r>
              <w:t xml:space="preserve">Discimus is in Amaas beheer bij HBplus </w:t>
            </w:r>
            <w:r w:rsidR="005E46C1">
              <w:t>en kan dus daardoor ook rekenen op de structuren en infrastructuur van Hbplus.</w:t>
            </w:r>
          </w:p>
          <w:p w14:paraId="459031B4" w14:textId="5F51BE87" w:rsidR="00001578" w:rsidRDefault="00001578" w:rsidP="00001578">
            <w:pPr>
              <w:pStyle w:val="Lijstalinea"/>
              <w:ind w:left="1440"/>
            </w:pPr>
          </w:p>
        </w:tc>
      </w:tr>
      <w:tr w:rsidR="00675BD4" w14:paraId="20E25ACE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01D2D9AA" w14:textId="7FA97EEF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10F4F832" w14:textId="31BBE251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580186AB" w14:textId="77777777" w:rsidTr="00537323">
        <w:tc>
          <w:tcPr>
            <w:tcW w:w="4531" w:type="dxa"/>
            <w:gridSpan w:val="3"/>
          </w:tcPr>
          <w:p w14:paraId="6D6D2093" w14:textId="77777777" w:rsidR="00675BD4" w:rsidRDefault="002151C2" w:rsidP="002151C2">
            <w:pPr>
              <w:pStyle w:val="Lijstalinea"/>
              <w:numPr>
                <w:ilvl w:val="0"/>
                <w:numId w:val="7"/>
              </w:numPr>
            </w:pPr>
            <w:r>
              <w:t>De structuren zijn operationeel</w:t>
            </w:r>
          </w:p>
          <w:p w14:paraId="26C243A4" w14:textId="3769448F" w:rsidR="002151C2" w:rsidRDefault="002151C2" w:rsidP="002151C2">
            <w:pPr>
              <w:pStyle w:val="Lijstalinea"/>
              <w:numPr>
                <w:ilvl w:val="0"/>
                <w:numId w:val="7"/>
              </w:numPr>
            </w:pPr>
            <w:r>
              <w:t>De infrastructuur voldoet aan de verwachtingen</w:t>
            </w:r>
          </w:p>
        </w:tc>
        <w:tc>
          <w:tcPr>
            <w:tcW w:w="4531" w:type="dxa"/>
            <w:gridSpan w:val="3"/>
          </w:tcPr>
          <w:p w14:paraId="05A9A3E7" w14:textId="5535A869" w:rsidR="00675BD4" w:rsidRDefault="002151C2" w:rsidP="002151C2">
            <w:pPr>
              <w:pStyle w:val="Lijstalinea"/>
              <w:numPr>
                <w:ilvl w:val="0"/>
                <w:numId w:val="7"/>
              </w:numPr>
            </w:pPr>
            <w:r>
              <w:t>De werking is niet formeel beschreven.</w:t>
            </w:r>
          </w:p>
        </w:tc>
      </w:tr>
      <w:tr w:rsidR="000332EB" w14:paraId="64C2B1B0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4D983F56" w14:textId="4E4DC8F4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07DB1E99" w14:textId="77777777" w:rsidTr="00537323">
        <w:tc>
          <w:tcPr>
            <w:tcW w:w="1812" w:type="dxa"/>
            <w:shd w:val="clear" w:color="auto" w:fill="FF0000"/>
          </w:tcPr>
          <w:p w14:paraId="1C2798E9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3621F2AB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4F6763A9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4C67268E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2C3EFF76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5835621D" w14:textId="77777777" w:rsidTr="00537323">
        <w:tc>
          <w:tcPr>
            <w:tcW w:w="1812" w:type="dxa"/>
          </w:tcPr>
          <w:p w14:paraId="7C31870E" w14:textId="77777777" w:rsidR="000332EB" w:rsidRDefault="000332EB" w:rsidP="000332EB"/>
        </w:tc>
        <w:tc>
          <w:tcPr>
            <w:tcW w:w="1812" w:type="dxa"/>
          </w:tcPr>
          <w:p w14:paraId="13171C20" w14:textId="77777777" w:rsidR="000332EB" w:rsidRDefault="000332EB" w:rsidP="000332EB"/>
        </w:tc>
        <w:tc>
          <w:tcPr>
            <w:tcW w:w="1812" w:type="dxa"/>
            <w:gridSpan w:val="2"/>
          </w:tcPr>
          <w:p w14:paraId="789EAACC" w14:textId="77777777" w:rsidR="000332EB" w:rsidRDefault="000332EB" w:rsidP="000332EB"/>
        </w:tc>
        <w:tc>
          <w:tcPr>
            <w:tcW w:w="1813" w:type="dxa"/>
          </w:tcPr>
          <w:p w14:paraId="7A0B56A2" w14:textId="435B77B7" w:rsidR="000332EB" w:rsidRDefault="00C307E1" w:rsidP="00C307E1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20076EE1" w14:textId="77777777" w:rsidR="000332EB" w:rsidRDefault="000332EB" w:rsidP="000332EB"/>
        </w:tc>
      </w:tr>
    </w:tbl>
    <w:p w14:paraId="1301CB1A" w14:textId="77777777" w:rsidR="00537323" w:rsidRDefault="00537323"/>
    <w:p w14:paraId="46D972BF" w14:textId="3C713830" w:rsidR="003241F3" w:rsidRDefault="003241F3">
      <w:r>
        <w:br w:type="page"/>
      </w:r>
    </w:p>
    <w:p w14:paraId="5E8556E9" w14:textId="77777777" w:rsidR="00537323" w:rsidRDefault="00537323"/>
    <w:p w14:paraId="1F13DC1C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29587BCD" w14:textId="77777777" w:rsidTr="00537323">
        <w:tc>
          <w:tcPr>
            <w:tcW w:w="9062" w:type="dxa"/>
            <w:gridSpan w:val="6"/>
          </w:tcPr>
          <w:p w14:paraId="57EFE607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beheersinstantie zorgt voor de nodige technische, inhoudelijke en juridische ondersteuning van de gegevensafnemers</w:t>
            </w:r>
          </w:p>
        </w:tc>
      </w:tr>
      <w:tr w:rsidR="00660EDE" w14:paraId="7E8D3AFE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42923878" w14:textId="386F6936" w:rsidR="00660EDE" w:rsidRDefault="00660EDE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660EDE" w14:paraId="15E26B58" w14:textId="77777777" w:rsidTr="00537323">
        <w:tc>
          <w:tcPr>
            <w:tcW w:w="9062" w:type="dxa"/>
            <w:gridSpan w:val="6"/>
          </w:tcPr>
          <w:p w14:paraId="442FB96D" w14:textId="5B9C808C" w:rsidR="00660EDE" w:rsidRDefault="00753D9A" w:rsidP="00660EDE">
            <w:r>
              <w:t xml:space="preserve">Er is de </w:t>
            </w:r>
            <w:r w:rsidR="00970C67">
              <w:t>SharePoint</w:t>
            </w:r>
            <w:r>
              <w:t xml:space="preserve"> waarop de schoolsoftwareleveranciers alle informatie over de diensten van Discimus kunnen vinden;</w:t>
            </w:r>
          </w:p>
          <w:p w14:paraId="306B4520" w14:textId="1DFC597F" w:rsidR="00753D9A" w:rsidRDefault="00753D9A" w:rsidP="00660EDE">
            <w:r>
              <w:t xml:space="preserve">Er is de helpdesk van </w:t>
            </w:r>
            <w:proofErr w:type="spellStart"/>
            <w:r w:rsidR="00970C67">
              <w:t>W</w:t>
            </w:r>
            <w:r>
              <w:t>ebedison</w:t>
            </w:r>
            <w:proofErr w:type="spellEnd"/>
            <w:r>
              <w:t xml:space="preserve"> waar die schoolsoftwareleverancier kunnen bellen.</w:t>
            </w:r>
          </w:p>
          <w:p w14:paraId="4BA05519" w14:textId="27482A22" w:rsidR="00753D9A" w:rsidRDefault="00753D9A" w:rsidP="00660EDE">
            <w:r>
              <w:t xml:space="preserve">Er is het centrale mailadres </w:t>
            </w:r>
            <w:hyperlink r:id="rId11" w:history="1">
              <w:r w:rsidRPr="0096656D">
                <w:rPr>
                  <w:rStyle w:val="Hyperlink"/>
                </w:rPr>
                <w:t>discimus@ond.vlaanderen.be</w:t>
              </w:r>
            </w:hyperlink>
            <w:r>
              <w:t xml:space="preserve"> </w:t>
            </w:r>
            <w:r w:rsidR="00116984">
              <w:t xml:space="preserve">waarop de schoolsoftwareleveranciers </w:t>
            </w:r>
            <w:r w:rsidR="00970C67">
              <w:t xml:space="preserve">en andere afnemers van de diensten van Discimus </w:t>
            </w:r>
            <w:r w:rsidR="00116984">
              <w:t>vragen kunnen stellen.  Dit mailadres is altijd bemand.</w:t>
            </w:r>
          </w:p>
          <w:p w14:paraId="75D20A4F" w14:textId="37B9E6C9" w:rsidR="00116984" w:rsidRDefault="00116984" w:rsidP="00660EDE">
            <w:r>
              <w:t>De scholen kunnen hun vragen stellen aan hun verificateur</w:t>
            </w:r>
            <w:r w:rsidR="003A73FB">
              <w:t>.</w:t>
            </w:r>
          </w:p>
        </w:tc>
      </w:tr>
      <w:tr w:rsidR="00675BD4" w14:paraId="340B2F32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2A3CBF26" w14:textId="37522A81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777DE6C6" w14:textId="7EB96B66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2E969A8D" w14:textId="77777777" w:rsidTr="00537323">
        <w:tc>
          <w:tcPr>
            <w:tcW w:w="4531" w:type="dxa"/>
            <w:gridSpan w:val="3"/>
          </w:tcPr>
          <w:p w14:paraId="2C1E4EFB" w14:textId="08524F74" w:rsidR="00675BD4" w:rsidRDefault="003A73FB" w:rsidP="003A73FB">
            <w:pPr>
              <w:pStyle w:val="Lijstalinea"/>
              <w:numPr>
                <w:ilvl w:val="0"/>
                <w:numId w:val="7"/>
              </w:numPr>
            </w:pPr>
            <w:r>
              <w:t>Sterk uitgebouwde communicatie</w:t>
            </w:r>
          </w:p>
        </w:tc>
        <w:tc>
          <w:tcPr>
            <w:tcW w:w="4531" w:type="dxa"/>
            <w:gridSpan w:val="3"/>
          </w:tcPr>
          <w:p w14:paraId="21C8C768" w14:textId="35FF68A1" w:rsidR="00675BD4" w:rsidRDefault="003A73FB" w:rsidP="003A73FB">
            <w:pPr>
              <w:pStyle w:val="Lijstalinea"/>
              <w:numPr>
                <w:ilvl w:val="0"/>
                <w:numId w:val="7"/>
              </w:numPr>
            </w:pPr>
            <w:r>
              <w:t xml:space="preserve">De gedetailleerde opvolging van de vragen is nog niet sterk uitgebouwd.  En CRM </w:t>
            </w:r>
            <w:r w:rsidR="00BE6C34">
              <w:t>zou daarbij kunnen helpen.</w:t>
            </w:r>
            <w:r w:rsidR="005B3FD1">
              <w:t xml:space="preserve"> Daar loopt momenteel een POC voor binnen AGODI.</w:t>
            </w:r>
          </w:p>
        </w:tc>
      </w:tr>
      <w:tr w:rsidR="000332EB" w14:paraId="2BDC6D83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62B3EEC9" w14:textId="60026A8F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4F4318F3" w14:textId="77777777" w:rsidTr="00537323">
        <w:tc>
          <w:tcPr>
            <w:tcW w:w="1812" w:type="dxa"/>
            <w:shd w:val="clear" w:color="auto" w:fill="FF0000"/>
          </w:tcPr>
          <w:p w14:paraId="426201EC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44F09194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5C0DA23F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12162FAB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782F725C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634688AE" w14:textId="77777777" w:rsidTr="00537323">
        <w:tc>
          <w:tcPr>
            <w:tcW w:w="1812" w:type="dxa"/>
          </w:tcPr>
          <w:p w14:paraId="5C2100E9" w14:textId="77777777" w:rsidR="000332EB" w:rsidRDefault="000332EB" w:rsidP="000332EB"/>
        </w:tc>
        <w:tc>
          <w:tcPr>
            <w:tcW w:w="1812" w:type="dxa"/>
          </w:tcPr>
          <w:p w14:paraId="792CD44A" w14:textId="77777777" w:rsidR="000332EB" w:rsidRDefault="000332EB" w:rsidP="000332EB"/>
        </w:tc>
        <w:tc>
          <w:tcPr>
            <w:tcW w:w="1812" w:type="dxa"/>
            <w:gridSpan w:val="2"/>
          </w:tcPr>
          <w:p w14:paraId="47D91F6E" w14:textId="77777777" w:rsidR="000332EB" w:rsidRDefault="000332EB" w:rsidP="000332EB"/>
        </w:tc>
        <w:tc>
          <w:tcPr>
            <w:tcW w:w="1813" w:type="dxa"/>
          </w:tcPr>
          <w:p w14:paraId="6F97A53C" w14:textId="77777777" w:rsidR="000332EB" w:rsidRDefault="000332EB" w:rsidP="000332EB"/>
        </w:tc>
        <w:tc>
          <w:tcPr>
            <w:tcW w:w="1813" w:type="dxa"/>
          </w:tcPr>
          <w:p w14:paraId="27AAECAE" w14:textId="480A36F9" w:rsidR="000332EB" w:rsidRDefault="00ED03E0" w:rsidP="00ED03E0">
            <w:pPr>
              <w:jc w:val="center"/>
            </w:pPr>
            <w:r>
              <w:t>x</w:t>
            </w:r>
          </w:p>
        </w:tc>
      </w:tr>
    </w:tbl>
    <w:p w14:paraId="23F66144" w14:textId="77777777" w:rsidR="00537323" w:rsidRDefault="00537323"/>
    <w:p w14:paraId="3DFE3051" w14:textId="3C6421CE" w:rsidR="00537323" w:rsidRDefault="00537323"/>
    <w:p w14:paraId="6871AAA9" w14:textId="6BACF287" w:rsidR="003241F3" w:rsidRDefault="003241F3">
      <w:r>
        <w:br w:type="page"/>
      </w:r>
    </w:p>
    <w:p w14:paraId="64E11CC7" w14:textId="77777777" w:rsidR="003241F3" w:rsidRDefault="003241F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660EDE" w14:paraId="0244C3AB" w14:textId="77777777" w:rsidTr="008B349B">
        <w:tc>
          <w:tcPr>
            <w:tcW w:w="9062" w:type="dxa"/>
            <w:gridSpan w:val="6"/>
          </w:tcPr>
          <w:p w14:paraId="73EE4162" w14:textId="77777777" w:rsidR="00660EDE" w:rsidRPr="006F115B" w:rsidRDefault="00660EDE" w:rsidP="00660EDE">
            <w:pPr>
              <w:rPr>
                <w:rFonts w:ascii="Calibri" w:hAnsi="Calibri" w:cs="Calibri"/>
                <w:color w:val="0070C0"/>
                <w:sz w:val="20"/>
                <w:szCs w:val="20"/>
              </w:rPr>
            </w:pPr>
            <w:r w:rsidRPr="006F115B">
              <w:rPr>
                <w:rFonts w:ascii="Calibri" w:hAnsi="Calibri" w:cs="Calibri"/>
                <w:color w:val="0070C0"/>
                <w:sz w:val="20"/>
                <w:szCs w:val="20"/>
              </w:rPr>
              <w:t>Er bestaat een terugmeldfaciliteit om onjuiste, niet-actuele, onvolledige of onnauwkeurige gegevens te melden</w:t>
            </w:r>
          </w:p>
          <w:p w14:paraId="1BE383D2" w14:textId="77777777" w:rsidR="00660EDE" w:rsidRDefault="00660EDE" w:rsidP="008B349B"/>
        </w:tc>
      </w:tr>
      <w:tr w:rsidR="00660EDE" w14:paraId="31252375" w14:textId="77777777" w:rsidTr="008B349B">
        <w:tc>
          <w:tcPr>
            <w:tcW w:w="9062" w:type="dxa"/>
            <w:gridSpan w:val="6"/>
            <w:shd w:val="clear" w:color="auto" w:fill="BFBFBF" w:themeFill="background1" w:themeFillShade="BF"/>
          </w:tcPr>
          <w:p w14:paraId="23132953" w14:textId="1BE4130E" w:rsidR="00660EDE" w:rsidRDefault="00660EDE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660EDE" w14:paraId="1250BD71" w14:textId="77777777" w:rsidTr="008B349B">
        <w:tc>
          <w:tcPr>
            <w:tcW w:w="9062" w:type="dxa"/>
            <w:gridSpan w:val="6"/>
          </w:tcPr>
          <w:p w14:paraId="78CE02DC" w14:textId="6F98CF14" w:rsidR="00660EDE" w:rsidRDefault="0026046B" w:rsidP="00660EDE">
            <w:r>
              <w:t xml:space="preserve">De schoolsoftwareleveranciers </w:t>
            </w:r>
            <w:r w:rsidR="00970C67">
              <w:t xml:space="preserve">en de andere afnemers </w:t>
            </w:r>
            <w:r>
              <w:t>kunnen dit melden op het centrale mailadres voor Discimus.  De scholen kunnen dit melden aan de helpdesk van edison of aan hun verificateur.</w:t>
            </w:r>
          </w:p>
        </w:tc>
      </w:tr>
      <w:tr w:rsidR="00675BD4" w14:paraId="5BD9D89F" w14:textId="77777777" w:rsidTr="008B349B">
        <w:tc>
          <w:tcPr>
            <w:tcW w:w="4531" w:type="dxa"/>
            <w:gridSpan w:val="3"/>
            <w:shd w:val="clear" w:color="auto" w:fill="BFBFBF" w:themeFill="background1" w:themeFillShade="BF"/>
          </w:tcPr>
          <w:p w14:paraId="3E8053EB" w14:textId="068AC8AD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5C203D3B" w14:textId="75DDDE6B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3B184A82" w14:textId="77777777" w:rsidTr="008B349B">
        <w:tc>
          <w:tcPr>
            <w:tcW w:w="4531" w:type="dxa"/>
            <w:gridSpan w:val="3"/>
          </w:tcPr>
          <w:p w14:paraId="72148AFD" w14:textId="77777777" w:rsidR="00675BD4" w:rsidRDefault="005F198C" w:rsidP="005F198C">
            <w:pPr>
              <w:pStyle w:val="Lijstalinea"/>
              <w:numPr>
                <w:ilvl w:val="0"/>
                <w:numId w:val="7"/>
              </w:numPr>
            </w:pPr>
            <w:r>
              <w:t>Er zijn kanalen beschikbaar om de feedback te ontvangen</w:t>
            </w:r>
          </w:p>
          <w:p w14:paraId="4F5843F2" w14:textId="7420CFBA" w:rsidR="005F198C" w:rsidRDefault="005F198C" w:rsidP="005F198C">
            <w:pPr>
              <w:pStyle w:val="Lijstalinea"/>
              <w:numPr>
                <w:ilvl w:val="0"/>
                <w:numId w:val="7"/>
              </w:numPr>
            </w:pPr>
            <w:r>
              <w:t>Deze wordt ook opgenomen</w:t>
            </w:r>
            <w:r w:rsidR="00C02D88">
              <w:t>.</w:t>
            </w:r>
          </w:p>
        </w:tc>
        <w:tc>
          <w:tcPr>
            <w:tcW w:w="4531" w:type="dxa"/>
            <w:gridSpan w:val="3"/>
          </w:tcPr>
          <w:p w14:paraId="0833823E" w14:textId="18C69143" w:rsidR="00675BD4" w:rsidRDefault="00C02D88" w:rsidP="00C02D88">
            <w:pPr>
              <w:pStyle w:val="Lijstalinea"/>
              <w:numPr>
                <w:ilvl w:val="0"/>
                <w:numId w:val="7"/>
              </w:numPr>
            </w:pPr>
            <w:r>
              <w:t>Er is nog geen dashboard om dit alles op te volgen.</w:t>
            </w:r>
          </w:p>
        </w:tc>
      </w:tr>
      <w:tr w:rsidR="000332EB" w14:paraId="4B20AFDE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2DEF29BB" w14:textId="07529F69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049A2CF0" w14:textId="77777777" w:rsidTr="008B349B">
        <w:tc>
          <w:tcPr>
            <w:tcW w:w="1812" w:type="dxa"/>
            <w:shd w:val="clear" w:color="auto" w:fill="FF0000"/>
          </w:tcPr>
          <w:p w14:paraId="4007B5AF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02D1D2D8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46925AE5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77B5E665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1854B46B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59039AE2" w14:textId="77777777" w:rsidTr="008B349B">
        <w:tc>
          <w:tcPr>
            <w:tcW w:w="1812" w:type="dxa"/>
          </w:tcPr>
          <w:p w14:paraId="29BAB247" w14:textId="77777777" w:rsidR="000332EB" w:rsidRDefault="000332EB" w:rsidP="000332EB"/>
        </w:tc>
        <w:tc>
          <w:tcPr>
            <w:tcW w:w="1812" w:type="dxa"/>
          </w:tcPr>
          <w:p w14:paraId="7A562562" w14:textId="77777777" w:rsidR="000332EB" w:rsidRDefault="000332EB" w:rsidP="000332EB"/>
        </w:tc>
        <w:tc>
          <w:tcPr>
            <w:tcW w:w="1812" w:type="dxa"/>
            <w:gridSpan w:val="2"/>
          </w:tcPr>
          <w:p w14:paraId="55E50767" w14:textId="4AEBD782" w:rsidR="000332EB" w:rsidRDefault="00ED03E0" w:rsidP="00ED03E0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4E59DC59" w14:textId="77777777" w:rsidR="000332EB" w:rsidRDefault="000332EB" w:rsidP="000332EB"/>
        </w:tc>
        <w:tc>
          <w:tcPr>
            <w:tcW w:w="1813" w:type="dxa"/>
          </w:tcPr>
          <w:p w14:paraId="68672BAE" w14:textId="77777777" w:rsidR="000332EB" w:rsidRDefault="000332EB" w:rsidP="000332EB"/>
        </w:tc>
      </w:tr>
    </w:tbl>
    <w:p w14:paraId="77BD410C" w14:textId="32756F7B" w:rsidR="00660EDE" w:rsidRDefault="00660EDE"/>
    <w:p w14:paraId="5E42A0EA" w14:textId="3D242C0A" w:rsidR="00660EDE" w:rsidRDefault="00660EDE"/>
    <w:p w14:paraId="2FBA5F37" w14:textId="2B19E253" w:rsidR="003241F3" w:rsidRDefault="003241F3">
      <w:r>
        <w:br w:type="page"/>
      </w:r>
    </w:p>
    <w:p w14:paraId="1B0C5070" w14:textId="77777777" w:rsidR="00660EDE" w:rsidRDefault="00660EDE"/>
    <w:p w14:paraId="5B905942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43D0D7CA" w14:textId="77777777" w:rsidTr="00537323">
        <w:tc>
          <w:tcPr>
            <w:tcW w:w="9062" w:type="dxa"/>
            <w:gridSpan w:val="6"/>
          </w:tcPr>
          <w:p w14:paraId="4BBD1DE8" w14:textId="77777777" w:rsidR="00537323" w:rsidRPr="006F115B" w:rsidRDefault="00537323" w:rsidP="00537323">
            <w:pPr>
              <w:rPr>
                <w:rFonts w:ascii="Calibri" w:hAnsi="Calibri" w:cs="Calibri"/>
                <w:color w:val="0070C0"/>
                <w:sz w:val="20"/>
                <w:szCs w:val="20"/>
              </w:rPr>
            </w:pPr>
            <w:r w:rsidRPr="006F115B">
              <w:rPr>
                <w:rFonts w:ascii="Calibri" w:hAnsi="Calibri" w:cs="Calibri"/>
                <w:color w:val="0070C0"/>
                <w:sz w:val="20"/>
                <w:szCs w:val="20"/>
              </w:rPr>
              <w:t xml:space="preserve">De beheersinstantie is in staat om foutmeldingen te registreren en te onderzoeken, en de nodige verbeteringen uit te voeren </w:t>
            </w:r>
          </w:p>
          <w:p w14:paraId="31311A75" w14:textId="77777777" w:rsidR="00537323" w:rsidRDefault="00537323" w:rsidP="00537323"/>
        </w:tc>
      </w:tr>
      <w:tr w:rsidR="00537323" w14:paraId="37DF44F0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3DF33FB1" w14:textId="1C9194E6" w:rsidR="00537323" w:rsidRDefault="00221D85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2B27C584" w14:textId="77777777" w:rsidTr="00537323">
        <w:tc>
          <w:tcPr>
            <w:tcW w:w="9062" w:type="dxa"/>
            <w:gridSpan w:val="6"/>
          </w:tcPr>
          <w:p w14:paraId="63B4B01E" w14:textId="77777777" w:rsidR="00537323" w:rsidRDefault="007E2F9A" w:rsidP="00537323">
            <w:r>
              <w:t>De foutmelden die het systeem detecteert worden d.m.v. een mail verstuurd naar een verzendlijst waarin de betrokkenen opgenomen zijn : technical lead, analist, applicatiebeheerder.</w:t>
            </w:r>
          </w:p>
          <w:p w14:paraId="09407AA7" w14:textId="77777777" w:rsidR="008574AA" w:rsidRDefault="008574AA" w:rsidP="00537323">
            <w:r>
              <w:t>Deze worden opgenomen en opgelost.</w:t>
            </w:r>
          </w:p>
          <w:p w14:paraId="4222C321" w14:textId="77777777" w:rsidR="008574AA" w:rsidRDefault="008574AA" w:rsidP="00537323">
            <w:r>
              <w:t>De fouten worden geregistreerd in Jira voor verdere opvolgen tot implementatie.</w:t>
            </w:r>
          </w:p>
          <w:p w14:paraId="0B648AA6" w14:textId="581546D5" w:rsidR="008574AA" w:rsidRDefault="008574AA" w:rsidP="00537323">
            <w:r>
              <w:t>Discimus is ook in Amaas bij H</w:t>
            </w:r>
            <w:r w:rsidR="007A3746">
              <w:t>b</w:t>
            </w:r>
            <w:r>
              <w:t>plus</w:t>
            </w:r>
            <w:r w:rsidR="007A3746">
              <w:t>.  Dit betekent dat fouten ook aan de helpdesk van HBplus kunnen gemeld worde</w:t>
            </w:r>
            <w:r w:rsidR="00A91617">
              <w:t>n.  Die helpdesk zorgt dan voor verdere escalatie en opvolgen van het incident volgens de ITIL standaarden beschreven in het contract.</w:t>
            </w:r>
          </w:p>
        </w:tc>
      </w:tr>
      <w:tr w:rsidR="00675BD4" w14:paraId="1C69D317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2FD1302C" w14:textId="6149C0EA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0731CBF3" w14:textId="5C5D2300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6E53E936" w14:textId="77777777" w:rsidTr="00537323">
        <w:tc>
          <w:tcPr>
            <w:tcW w:w="4531" w:type="dxa"/>
            <w:gridSpan w:val="3"/>
          </w:tcPr>
          <w:p w14:paraId="22D3DA78" w14:textId="256C903D" w:rsidR="00675BD4" w:rsidRDefault="00352627" w:rsidP="00352627">
            <w:pPr>
              <w:pStyle w:val="Lijstalinea"/>
              <w:numPr>
                <w:ilvl w:val="0"/>
                <w:numId w:val="7"/>
              </w:numPr>
            </w:pPr>
            <w:r>
              <w:t>De toepassing is in Amaas bij HBplus : incidenten kunnen gemeld worden aan de helpdesk en worden van daaruit opgevolgd.</w:t>
            </w:r>
          </w:p>
        </w:tc>
        <w:tc>
          <w:tcPr>
            <w:tcW w:w="4531" w:type="dxa"/>
            <w:gridSpan w:val="3"/>
          </w:tcPr>
          <w:p w14:paraId="34710184" w14:textId="15B1468B" w:rsidR="00675BD4" w:rsidRDefault="00677436" w:rsidP="00677436">
            <w:pPr>
              <w:pStyle w:val="Lijstalinea"/>
              <w:numPr>
                <w:ilvl w:val="0"/>
                <w:numId w:val="7"/>
              </w:numPr>
            </w:pPr>
            <w:r>
              <w:t>De opvolging van de fouten uit de toepassing kan nog verbeteren.  Er is nog geen automatische link met de helpdesk.</w:t>
            </w:r>
          </w:p>
        </w:tc>
      </w:tr>
      <w:tr w:rsidR="000332EB" w14:paraId="7A2158E5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2426A8AA" w14:textId="1F2C05E0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77A7034E" w14:textId="77777777" w:rsidTr="00537323">
        <w:tc>
          <w:tcPr>
            <w:tcW w:w="1812" w:type="dxa"/>
            <w:shd w:val="clear" w:color="auto" w:fill="FF0000"/>
          </w:tcPr>
          <w:p w14:paraId="6C5C52E8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2CE58917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7CC9061A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46FC0FFA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4EFDBF76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24D564F2" w14:textId="77777777" w:rsidTr="00537323">
        <w:tc>
          <w:tcPr>
            <w:tcW w:w="1812" w:type="dxa"/>
          </w:tcPr>
          <w:p w14:paraId="5D36C7B0" w14:textId="77777777" w:rsidR="000332EB" w:rsidRDefault="000332EB" w:rsidP="000332EB"/>
        </w:tc>
        <w:tc>
          <w:tcPr>
            <w:tcW w:w="1812" w:type="dxa"/>
          </w:tcPr>
          <w:p w14:paraId="19978AA0" w14:textId="77777777" w:rsidR="000332EB" w:rsidRDefault="000332EB" w:rsidP="000332EB"/>
        </w:tc>
        <w:tc>
          <w:tcPr>
            <w:tcW w:w="1812" w:type="dxa"/>
            <w:gridSpan w:val="2"/>
          </w:tcPr>
          <w:p w14:paraId="65ADCDE0" w14:textId="77777777" w:rsidR="000332EB" w:rsidRDefault="000332EB" w:rsidP="000332EB"/>
        </w:tc>
        <w:tc>
          <w:tcPr>
            <w:tcW w:w="1813" w:type="dxa"/>
          </w:tcPr>
          <w:p w14:paraId="57BFFB97" w14:textId="54B76307" w:rsidR="000332EB" w:rsidRDefault="00ED03E0" w:rsidP="00ED03E0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7B23BB4D" w14:textId="77777777" w:rsidR="000332EB" w:rsidRDefault="000332EB" w:rsidP="000332EB"/>
        </w:tc>
      </w:tr>
    </w:tbl>
    <w:p w14:paraId="298E6804" w14:textId="0115DAA5" w:rsidR="003241F3" w:rsidRDefault="003241F3"/>
    <w:p w14:paraId="3E718FC2" w14:textId="77777777" w:rsidR="003241F3" w:rsidRDefault="003241F3">
      <w:r>
        <w:br w:type="page"/>
      </w:r>
    </w:p>
    <w:p w14:paraId="5B199FD7" w14:textId="77777777" w:rsidR="00537323" w:rsidRDefault="00537323"/>
    <w:p w14:paraId="57391B99" w14:textId="77777777" w:rsidR="00537323" w:rsidRDefault="00537323" w:rsidP="00537323">
      <w:pPr>
        <w:pStyle w:val="Kop1"/>
        <w:numPr>
          <w:ilvl w:val="0"/>
          <w:numId w:val="1"/>
        </w:numPr>
      </w:pPr>
      <w:r>
        <w:t>Erkenningscriteria m.b.t. de veiligheid van de gegevens</w:t>
      </w:r>
    </w:p>
    <w:p w14:paraId="44E4949F" w14:textId="77777777" w:rsidR="00537323" w:rsidRDefault="00537323"/>
    <w:p w14:paraId="10268203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000506D9" w14:textId="77777777" w:rsidTr="00537323">
        <w:tc>
          <w:tcPr>
            <w:tcW w:w="9062" w:type="dxa"/>
            <w:gridSpan w:val="6"/>
          </w:tcPr>
          <w:p w14:paraId="3056764C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gepaste fysieke, technische en organisatorische maatregelen zijn genomen om de opslag, de toegang tot en het gebruik van de gegevens ontsloten via de gegevensstromen te beveiligen</w:t>
            </w:r>
          </w:p>
        </w:tc>
      </w:tr>
      <w:tr w:rsidR="00537323" w14:paraId="6344413C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5BE46003" w14:textId="180A0909" w:rsidR="00537323" w:rsidRDefault="00221D85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05B76A30" w14:textId="77777777" w:rsidTr="00537323">
        <w:tc>
          <w:tcPr>
            <w:tcW w:w="9062" w:type="dxa"/>
            <w:gridSpan w:val="6"/>
          </w:tcPr>
          <w:p w14:paraId="60C7BDC5" w14:textId="6A141984" w:rsidR="00537323" w:rsidRDefault="00F24AB1" w:rsidP="00537323">
            <w:r>
              <w:t xml:space="preserve">De toegang tot </w:t>
            </w:r>
            <w:proofErr w:type="spellStart"/>
            <w:r>
              <w:t>Discimus</w:t>
            </w:r>
            <w:proofErr w:type="spellEnd"/>
            <w:r>
              <w:t xml:space="preserve"> kan alleen met sterke </w:t>
            </w:r>
            <w:r w:rsidR="006C5B16">
              <w:t>authenticatie</w:t>
            </w:r>
            <w:r>
              <w:t xml:space="preserve"> van </w:t>
            </w:r>
            <w:proofErr w:type="spellStart"/>
            <w:r>
              <w:t>acm</w:t>
            </w:r>
            <w:proofErr w:type="spellEnd"/>
            <w:r>
              <w:t>/</w:t>
            </w:r>
            <w:r w:rsidR="00970C67">
              <w:t>IDM</w:t>
            </w:r>
            <w:r>
              <w:t xml:space="preserve">.  De gegevensstromen </w:t>
            </w:r>
            <w:r w:rsidR="005864BD">
              <w:t xml:space="preserve">met andere toepassingen zijn via sftp of secure  web services. </w:t>
            </w:r>
            <w:r w:rsidR="00564565" w:rsidRPr="005B3FD1">
              <w:t>De web services worden op verschillende niveaus beveiligd. Op transportniveau is steeds een SSL/TLS-verbinding vereist. Op berichtniveau gebeurt de authenticatie van de service consumer op basis van X.509-certificaten. De certificaten worden na kwalitatieve registratie aangemaakt en uitgereikt via het platform voor digitaal certificatenbeheer van de Vlaamse Overheid.</w:t>
            </w:r>
          </w:p>
          <w:p w14:paraId="1300438B" w14:textId="14594CA9" w:rsidR="001311D0" w:rsidRDefault="001311D0" w:rsidP="00537323">
            <w:r>
              <w:t>Alle gebruikers hebben een geheimhoudingsverklaring ondertekend.</w:t>
            </w:r>
          </w:p>
          <w:p w14:paraId="40DEA498" w14:textId="5D973C94" w:rsidR="004B76C6" w:rsidRDefault="004B76C6" w:rsidP="00537323">
            <w:r>
              <w:t>Er is een incidentenbeheer</w:t>
            </w:r>
            <w:r w:rsidR="0002269A">
              <w:t>procedure opgesteld en naar alle medewerkers gecommuniceerd.</w:t>
            </w:r>
          </w:p>
          <w:p w14:paraId="4C8782F2" w14:textId="58EAF435" w:rsidR="008E2BFE" w:rsidRDefault="00A14CE0" w:rsidP="00537323">
            <w:r>
              <w:t xml:space="preserve">Toegang en gebruik van DISCIMUS buiten de medewerkers van AGODI staat steeds beschreven in een machtiging / protocol </w:t>
            </w:r>
            <w:r w:rsidR="00263533">
              <w:t xml:space="preserve">te raadplegen via </w:t>
            </w:r>
            <w:r w:rsidR="00402FFF" w:rsidRPr="00402FFF">
              <w:t>https://onderwijs.vlaanderen.be/informatieveiligheid</w:t>
            </w:r>
          </w:p>
        </w:tc>
      </w:tr>
      <w:tr w:rsidR="00675BD4" w14:paraId="3AB8CC40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687178F8" w14:textId="00D18203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643AB183" w14:textId="49C1562F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5B3D1017" w14:textId="77777777" w:rsidTr="00537323">
        <w:tc>
          <w:tcPr>
            <w:tcW w:w="4531" w:type="dxa"/>
            <w:gridSpan w:val="3"/>
          </w:tcPr>
          <w:p w14:paraId="2CCF58FE" w14:textId="77777777" w:rsidR="00DB4B94" w:rsidRDefault="00DB4B94" w:rsidP="00DB4B94">
            <w:pPr>
              <w:pStyle w:val="Lijstalinea"/>
              <w:numPr>
                <w:ilvl w:val="0"/>
                <w:numId w:val="7"/>
              </w:numPr>
            </w:pPr>
            <w:r>
              <w:t>Er is sterke authenticatie voor de toegang tot de toepassing</w:t>
            </w:r>
          </w:p>
          <w:p w14:paraId="5E808F09" w14:textId="7ED835B6" w:rsidR="007760B6" w:rsidRDefault="00DB4B94" w:rsidP="00C54B8F">
            <w:pPr>
              <w:pStyle w:val="Lijstalinea"/>
              <w:numPr>
                <w:ilvl w:val="0"/>
                <w:numId w:val="7"/>
              </w:numPr>
            </w:pPr>
            <w:r>
              <w:t xml:space="preserve">De gegevensstromen zijn sterk beveiligd </w:t>
            </w:r>
          </w:p>
        </w:tc>
        <w:tc>
          <w:tcPr>
            <w:tcW w:w="4531" w:type="dxa"/>
            <w:gridSpan w:val="3"/>
          </w:tcPr>
          <w:p w14:paraId="04FC39AB" w14:textId="77777777" w:rsidR="00675BD4" w:rsidRDefault="00675BD4" w:rsidP="00675BD4"/>
        </w:tc>
      </w:tr>
      <w:tr w:rsidR="000332EB" w14:paraId="02C19F13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509F1A52" w14:textId="6DC4A5C0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39F3A092" w14:textId="77777777" w:rsidTr="00537323">
        <w:tc>
          <w:tcPr>
            <w:tcW w:w="1812" w:type="dxa"/>
            <w:shd w:val="clear" w:color="auto" w:fill="FF0000"/>
          </w:tcPr>
          <w:p w14:paraId="590042DD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7A120382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201D804C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26CFB702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09AC8193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39529F15" w14:textId="77777777" w:rsidTr="00537323">
        <w:tc>
          <w:tcPr>
            <w:tcW w:w="1812" w:type="dxa"/>
          </w:tcPr>
          <w:p w14:paraId="5263D568" w14:textId="77777777" w:rsidR="000332EB" w:rsidRDefault="000332EB" w:rsidP="000332EB"/>
        </w:tc>
        <w:tc>
          <w:tcPr>
            <w:tcW w:w="1812" w:type="dxa"/>
          </w:tcPr>
          <w:p w14:paraId="5AFEE4D9" w14:textId="77777777" w:rsidR="000332EB" w:rsidRDefault="000332EB" w:rsidP="000332EB"/>
        </w:tc>
        <w:tc>
          <w:tcPr>
            <w:tcW w:w="1812" w:type="dxa"/>
            <w:gridSpan w:val="2"/>
          </w:tcPr>
          <w:p w14:paraId="7F9E5283" w14:textId="77777777" w:rsidR="000332EB" w:rsidRDefault="000332EB" w:rsidP="000332EB"/>
        </w:tc>
        <w:tc>
          <w:tcPr>
            <w:tcW w:w="1813" w:type="dxa"/>
          </w:tcPr>
          <w:p w14:paraId="77D06B31" w14:textId="6C7AEE1B" w:rsidR="000332EB" w:rsidRDefault="00502E14" w:rsidP="00502E14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11AD1D88" w14:textId="77777777" w:rsidR="000332EB" w:rsidRDefault="000332EB" w:rsidP="000332EB"/>
        </w:tc>
      </w:tr>
    </w:tbl>
    <w:p w14:paraId="31ADB6B5" w14:textId="77777777" w:rsidR="00537323" w:rsidRDefault="00537323"/>
    <w:p w14:paraId="7046FB91" w14:textId="25A4D893" w:rsidR="003241F3" w:rsidRDefault="003241F3">
      <w:r>
        <w:br w:type="page"/>
      </w:r>
    </w:p>
    <w:p w14:paraId="40154F34" w14:textId="77777777" w:rsidR="00537323" w:rsidRDefault="00537323"/>
    <w:p w14:paraId="6E2DE442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52CA45CF" w14:textId="77777777" w:rsidTr="00537323">
        <w:tc>
          <w:tcPr>
            <w:tcW w:w="9062" w:type="dxa"/>
            <w:gridSpan w:val="6"/>
          </w:tcPr>
          <w:p w14:paraId="719A981B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Het is mogelijk de gegevens te auditen, d.w.z. wijzigingen in de gegevens op te sporen</w:t>
            </w:r>
          </w:p>
        </w:tc>
      </w:tr>
      <w:tr w:rsidR="00537323" w14:paraId="4EB3F77A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34E4F5BC" w14:textId="47FDF6E5" w:rsidR="00537323" w:rsidRDefault="00B156AF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05138B36" w14:textId="77777777" w:rsidTr="00537323">
        <w:tc>
          <w:tcPr>
            <w:tcW w:w="9062" w:type="dxa"/>
            <w:gridSpan w:val="6"/>
          </w:tcPr>
          <w:p w14:paraId="6929D66A" w14:textId="32C69002" w:rsidR="00537323" w:rsidRDefault="00E41C23" w:rsidP="00537323">
            <w:r>
              <w:t xml:space="preserve">Alle wijzigingen in de databank worden </w:t>
            </w:r>
            <w:r w:rsidR="00501BB2">
              <w:t xml:space="preserve">historisch bijgehouden met vermelding van tijdstip en rijksregisternummer van diegene die de wijziging aangebracht heeft.  Er is een apart log voor de  web services. </w:t>
            </w:r>
          </w:p>
        </w:tc>
      </w:tr>
      <w:tr w:rsidR="00675BD4" w14:paraId="1091A4F7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59D03CE8" w14:textId="12865AF7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24BD6327" w14:textId="5BC8B225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279C2DB1" w14:textId="77777777" w:rsidTr="00537323">
        <w:tc>
          <w:tcPr>
            <w:tcW w:w="4531" w:type="dxa"/>
            <w:gridSpan w:val="3"/>
          </w:tcPr>
          <w:p w14:paraId="2DC487AC" w14:textId="77777777" w:rsidR="00675BD4" w:rsidRDefault="00501BB2" w:rsidP="00501BB2">
            <w:pPr>
              <w:pStyle w:val="Lijstalinea"/>
              <w:numPr>
                <w:ilvl w:val="0"/>
                <w:numId w:val="7"/>
              </w:numPr>
            </w:pPr>
            <w:r>
              <w:t>Historisch</w:t>
            </w:r>
            <w:r w:rsidR="0053404D">
              <w:t xml:space="preserve"> bijhouden van de wijzigingen</w:t>
            </w:r>
          </w:p>
          <w:p w14:paraId="3E724A62" w14:textId="1976DBA0" w:rsidR="0053404D" w:rsidRDefault="0053404D" w:rsidP="00501BB2">
            <w:pPr>
              <w:pStyle w:val="Lijstalinea"/>
              <w:numPr>
                <w:ilvl w:val="0"/>
                <w:numId w:val="7"/>
              </w:numPr>
            </w:pPr>
            <w:r>
              <w:t xml:space="preserve">Log voor de  web services </w:t>
            </w:r>
          </w:p>
        </w:tc>
        <w:tc>
          <w:tcPr>
            <w:tcW w:w="4531" w:type="dxa"/>
            <w:gridSpan w:val="3"/>
          </w:tcPr>
          <w:p w14:paraId="419C6359" w14:textId="77777777" w:rsidR="00675BD4" w:rsidRDefault="00675BD4" w:rsidP="00675BD4"/>
        </w:tc>
      </w:tr>
      <w:tr w:rsidR="000332EB" w14:paraId="481CC6E9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2D91A968" w14:textId="39DEC477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522A9F82" w14:textId="77777777" w:rsidTr="00537323">
        <w:tc>
          <w:tcPr>
            <w:tcW w:w="1812" w:type="dxa"/>
            <w:shd w:val="clear" w:color="auto" w:fill="FF0000"/>
          </w:tcPr>
          <w:p w14:paraId="1307A11A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26BC2EB9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1C59459A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27CFE8FB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6E29BC53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40E7E77B" w14:textId="77777777" w:rsidTr="00537323">
        <w:tc>
          <w:tcPr>
            <w:tcW w:w="1812" w:type="dxa"/>
          </w:tcPr>
          <w:p w14:paraId="483612AC" w14:textId="77777777" w:rsidR="000332EB" w:rsidRDefault="000332EB" w:rsidP="000332EB"/>
        </w:tc>
        <w:tc>
          <w:tcPr>
            <w:tcW w:w="1812" w:type="dxa"/>
          </w:tcPr>
          <w:p w14:paraId="5D771F28" w14:textId="77777777" w:rsidR="000332EB" w:rsidRDefault="000332EB" w:rsidP="000332EB"/>
        </w:tc>
        <w:tc>
          <w:tcPr>
            <w:tcW w:w="1812" w:type="dxa"/>
            <w:gridSpan w:val="2"/>
          </w:tcPr>
          <w:p w14:paraId="3DF33718" w14:textId="77777777" w:rsidR="000332EB" w:rsidRDefault="000332EB" w:rsidP="000332EB"/>
        </w:tc>
        <w:tc>
          <w:tcPr>
            <w:tcW w:w="1813" w:type="dxa"/>
          </w:tcPr>
          <w:p w14:paraId="36956D55" w14:textId="77777777" w:rsidR="000332EB" w:rsidRDefault="000332EB" w:rsidP="000332EB"/>
        </w:tc>
        <w:tc>
          <w:tcPr>
            <w:tcW w:w="1813" w:type="dxa"/>
          </w:tcPr>
          <w:p w14:paraId="1D903903" w14:textId="430D6EAE" w:rsidR="000332EB" w:rsidRDefault="00502E14" w:rsidP="00502E14">
            <w:pPr>
              <w:jc w:val="center"/>
            </w:pPr>
            <w:r>
              <w:t>x</w:t>
            </w:r>
          </w:p>
        </w:tc>
      </w:tr>
    </w:tbl>
    <w:p w14:paraId="1BA826CA" w14:textId="77777777" w:rsidR="00537323" w:rsidRDefault="00537323"/>
    <w:p w14:paraId="1CE4C357" w14:textId="0C8C4287" w:rsidR="003241F3" w:rsidRDefault="003241F3">
      <w:r>
        <w:br w:type="page"/>
      </w:r>
    </w:p>
    <w:p w14:paraId="7BE0F734" w14:textId="77777777" w:rsidR="00537323" w:rsidRDefault="00537323"/>
    <w:p w14:paraId="0F269DAD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3E52445E" w14:textId="77777777" w:rsidTr="00537323">
        <w:tc>
          <w:tcPr>
            <w:tcW w:w="9062" w:type="dxa"/>
            <w:gridSpan w:val="6"/>
          </w:tcPr>
          <w:p w14:paraId="577BAABF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beheersinstantie voldoet aan de binnen Vlaanderen geldende veiligheidsstandaarden</w:t>
            </w:r>
          </w:p>
        </w:tc>
      </w:tr>
      <w:tr w:rsidR="00537323" w14:paraId="59F35613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7515A1F6" w14:textId="74F59A1C" w:rsidR="00537323" w:rsidRDefault="00B156AF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343481F0" w14:textId="77777777" w:rsidTr="00537323">
        <w:tc>
          <w:tcPr>
            <w:tcW w:w="9062" w:type="dxa"/>
            <w:gridSpan w:val="6"/>
          </w:tcPr>
          <w:p w14:paraId="31617EF5" w14:textId="22A01300" w:rsidR="005B3FD1" w:rsidRDefault="00BA729B" w:rsidP="00537323">
            <w:r>
              <w:t>Discimus is volledig gebouwd binnen de infrastructuur die HBplus binnen het contract beschikbaar stelt</w:t>
            </w:r>
            <w:r w:rsidR="009A2AD0">
              <w:t xml:space="preserve"> : het VPC. Deze infrastructuur werd als veilig genoeg geacht.</w:t>
            </w:r>
            <w:r w:rsidR="005B3FD1">
              <w:t xml:space="preserve"> </w:t>
            </w:r>
            <w:r w:rsidR="001E06E9">
              <w:t>Maar de veiligheidsvereisten veranderen.</w:t>
            </w:r>
            <w:r w:rsidR="005B3FD1">
              <w:br/>
            </w:r>
          </w:p>
          <w:p w14:paraId="541B9182" w14:textId="29DB29DA" w:rsidR="00C54B8F" w:rsidRDefault="00C54B8F" w:rsidP="00537323">
            <w:r>
              <w:t>AGODI beschikt over een veiligheidsbeleid, veiligheidsplan, DPO en veiligheidsconsulent.</w:t>
            </w:r>
          </w:p>
          <w:p w14:paraId="57E161F1" w14:textId="6ADFD561" w:rsidR="00813551" w:rsidRDefault="00813551" w:rsidP="00537323">
            <w:r>
              <w:t xml:space="preserve">In november 2019 werd een grondige assessment uitgevoerd </w:t>
            </w:r>
            <w:r w:rsidR="00F414F9">
              <w:t xml:space="preserve">over de technische </w:t>
            </w:r>
            <w:r w:rsidR="00CB3F95">
              <w:t xml:space="preserve">veiligheidsmaatregelen </w:t>
            </w:r>
            <w:r w:rsidR="007E33BF">
              <w:t xml:space="preserve">van DISCIMUS </w:t>
            </w:r>
            <w:r w:rsidR="00CB3F95">
              <w:t>in verhouding met de minimale maatregelen die het ICT stuurorgaan heeft goedgekeurd</w:t>
            </w:r>
            <w:r w:rsidR="00E30307">
              <w:t xml:space="preserve"> op het gebied van gebruikers- en toegangsbeheer, toegang voor beheerders, </w:t>
            </w:r>
            <w:r w:rsidR="00811F0E">
              <w:t>cryptografische maatregelen, veiligheidslogging en monitoring.</w:t>
            </w:r>
            <w:r w:rsidR="000A7D6E">
              <w:t xml:space="preserve"> </w:t>
            </w:r>
            <w:r w:rsidR="00C56AF3">
              <w:t xml:space="preserve">Dit rapport is ook toegelicht aan het management. </w:t>
            </w:r>
            <w:r w:rsidR="007E33BF">
              <w:t xml:space="preserve"> </w:t>
            </w:r>
          </w:p>
          <w:p w14:paraId="6739EC8B" w14:textId="72A236C1" w:rsidR="00C54B8F" w:rsidRDefault="00C54B8F" w:rsidP="00537323"/>
        </w:tc>
      </w:tr>
      <w:tr w:rsidR="00675BD4" w14:paraId="0A0F2F28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5D69AE2D" w14:textId="4DF5B8A5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3A4BD3F5" w14:textId="0E1BBD3D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148DBB4D" w14:textId="77777777" w:rsidTr="00537323">
        <w:tc>
          <w:tcPr>
            <w:tcW w:w="4531" w:type="dxa"/>
            <w:gridSpan w:val="3"/>
          </w:tcPr>
          <w:p w14:paraId="0390BA25" w14:textId="70A26061" w:rsidR="00675BD4" w:rsidRDefault="00F232BE" w:rsidP="00675BD4">
            <w:r>
              <w:t>Gebruikte infrastructuur is VPC.</w:t>
            </w:r>
          </w:p>
        </w:tc>
        <w:tc>
          <w:tcPr>
            <w:tcW w:w="4531" w:type="dxa"/>
            <w:gridSpan w:val="3"/>
          </w:tcPr>
          <w:p w14:paraId="6241E226" w14:textId="7F8D7E45" w:rsidR="00675BD4" w:rsidRDefault="00F232BE" w:rsidP="00675BD4">
            <w:r>
              <w:t>De vereisten veranderen in de tijd.</w:t>
            </w:r>
          </w:p>
        </w:tc>
      </w:tr>
      <w:tr w:rsidR="000332EB" w14:paraId="58EEF6D3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1C57373E" w14:textId="24C42C75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711F94C3" w14:textId="77777777" w:rsidTr="00537323">
        <w:tc>
          <w:tcPr>
            <w:tcW w:w="1812" w:type="dxa"/>
            <w:shd w:val="clear" w:color="auto" w:fill="FF0000"/>
          </w:tcPr>
          <w:p w14:paraId="627FEA6C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60510F0B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20BB02B9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416431FF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3BDEE5B8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17EE2354" w14:textId="77777777" w:rsidTr="00537323">
        <w:tc>
          <w:tcPr>
            <w:tcW w:w="1812" w:type="dxa"/>
          </w:tcPr>
          <w:p w14:paraId="639B03A2" w14:textId="77777777" w:rsidR="000332EB" w:rsidRDefault="000332EB" w:rsidP="000332EB"/>
        </w:tc>
        <w:tc>
          <w:tcPr>
            <w:tcW w:w="1812" w:type="dxa"/>
          </w:tcPr>
          <w:p w14:paraId="4CE7555D" w14:textId="77777777" w:rsidR="000332EB" w:rsidRDefault="000332EB" w:rsidP="000332EB"/>
        </w:tc>
        <w:tc>
          <w:tcPr>
            <w:tcW w:w="1812" w:type="dxa"/>
            <w:gridSpan w:val="2"/>
          </w:tcPr>
          <w:p w14:paraId="61C29FC2" w14:textId="77777777" w:rsidR="000332EB" w:rsidRDefault="000332EB" w:rsidP="000332EB"/>
        </w:tc>
        <w:tc>
          <w:tcPr>
            <w:tcW w:w="1813" w:type="dxa"/>
          </w:tcPr>
          <w:p w14:paraId="0277C08E" w14:textId="755BE033" w:rsidR="000332EB" w:rsidRDefault="00502E14" w:rsidP="00502E14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4722AA5A" w14:textId="77777777" w:rsidR="000332EB" w:rsidRDefault="000332EB" w:rsidP="000332EB"/>
        </w:tc>
      </w:tr>
    </w:tbl>
    <w:p w14:paraId="25CE15D3" w14:textId="5F4BD5AE" w:rsidR="003241F3" w:rsidRDefault="003241F3"/>
    <w:p w14:paraId="7B5169E2" w14:textId="77777777" w:rsidR="003241F3" w:rsidRDefault="003241F3">
      <w:r>
        <w:br w:type="page"/>
      </w:r>
    </w:p>
    <w:p w14:paraId="27396105" w14:textId="77777777" w:rsidR="00537323" w:rsidRDefault="00537323"/>
    <w:p w14:paraId="6E27FDFD" w14:textId="77777777" w:rsidR="00537323" w:rsidRDefault="00537323" w:rsidP="00537323">
      <w:pPr>
        <w:pStyle w:val="Kop1"/>
        <w:numPr>
          <w:ilvl w:val="0"/>
          <w:numId w:val="1"/>
        </w:numPr>
      </w:pPr>
      <w:r>
        <w:t>Erkenningscriteria m.b.t. de financiering van de gegevens</w:t>
      </w:r>
    </w:p>
    <w:p w14:paraId="0F47D7E9" w14:textId="77777777" w:rsidR="00537323" w:rsidRDefault="00537323"/>
    <w:p w14:paraId="5232C901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5DC47A08" w14:textId="77777777" w:rsidTr="00537323">
        <w:tc>
          <w:tcPr>
            <w:tcW w:w="9062" w:type="dxa"/>
            <w:gridSpan w:val="6"/>
          </w:tcPr>
          <w:p w14:paraId="01561085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beheersinstantie (en de gegevensinitiatoren) beschikken over de nodige blijvende financiering om het adequaat inzamelen en beheren te garanderen</w:t>
            </w:r>
          </w:p>
        </w:tc>
      </w:tr>
      <w:tr w:rsidR="00537323" w14:paraId="3CCB4FB3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558A7C31" w14:textId="0D262C18" w:rsidR="00537323" w:rsidRDefault="00B156AF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1F8FB64B" w14:textId="77777777" w:rsidTr="00537323">
        <w:tc>
          <w:tcPr>
            <w:tcW w:w="9062" w:type="dxa"/>
            <w:gridSpan w:val="6"/>
          </w:tcPr>
          <w:p w14:paraId="5EBD4F15" w14:textId="6501EED6" w:rsidR="00537323" w:rsidRDefault="00790687" w:rsidP="00537323">
            <w:r>
              <w:t>Het beheer van Discimus is onderdeel van het IT-budget van AGODI.  Jaarlijks wordt een IT plan opgesteld</w:t>
            </w:r>
            <w:r w:rsidR="00BC25A2">
              <w:t>.  Dit plan bevat een gedeelde voor het onderhouden van de bestaande toepassingen, de rest wordt aan nieuwe projecten besteed.</w:t>
            </w:r>
          </w:p>
        </w:tc>
      </w:tr>
      <w:tr w:rsidR="00675BD4" w14:paraId="1885724A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675110AB" w14:textId="1DE84D70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2BF95D85" w14:textId="79DA05F2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5F573DD7" w14:textId="77777777" w:rsidTr="00537323">
        <w:tc>
          <w:tcPr>
            <w:tcW w:w="4531" w:type="dxa"/>
            <w:gridSpan w:val="3"/>
          </w:tcPr>
          <w:p w14:paraId="527E327C" w14:textId="53074F0D" w:rsidR="00675BD4" w:rsidRDefault="00BC25A2" w:rsidP="00BC25A2">
            <w:pPr>
              <w:pStyle w:val="Lijstalinea"/>
              <w:numPr>
                <w:ilvl w:val="0"/>
                <w:numId w:val="7"/>
              </w:numPr>
            </w:pPr>
            <w:r>
              <w:t>Er is een onderhoudsbudget beschikbaar.</w:t>
            </w:r>
          </w:p>
        </w:tc>
        <w:tc>
          <w:tcPr>
            <w:tcW w:w="4531" w:type="dxa"/>
            <w:gridSpan w:val="3"/>
          </w:tcPr>
          <w:p w14:paraId="4E63A254" w14:textId="490ECFC9" w:rsidR="00675BD4" w:rsidRDefault="00313CF2" w:rsidP="001442FF">
            <w:pPr>
              <w:pStyle w:val="Lijstalinea"/>
              <w:numPr>
                <w:ilvl w:val="0"/>
                <w:numId w:val="7"/>
              </w:numPr>
            </w:pPr>
            <w:r>
              <w:t xml:space="preserve">Grote aanpassingen worden soms verspreid over meerdere jaren </w:t>
            </w:r>
            <w:r w:rsidR="00C01152">
              <w:t xml:space="preserve">om </w:t>
            </w:r>
            <w:r>
              <w:t>budgettaire redenen.</w:t>
            </w:r>
          </w:p>
        </w:tc>
      </w:tr>
      <w:tr w:rsidR="000332EB" w14:paraId="74390994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30EC4C54" w14:textId="4900A036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0B573ECA" w14:textId="77777777" w:rsidTr="00537323">
        <w:tc>
          <w:tcPr>
            <w:tcW w:w="1812" w:type="dxa"/>
            <w:shd w:val="clear" w:color="auto" w:fill="FF0000"/>
          </w:tcPr>
          <w:p w14:paraId="4B317584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43762172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25EDD9BF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30C74B3B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689DDDEA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0B99B2B8" w14:textId="77777777" w:rsidTr="00537323">
        <w:tc>
          <w:tcPr>
            <w:tcW w:w="1812" w:type="dxa"/>
          </w:tcPr>
          <w:p w14:paraId="2D108AA0" w14:textId="77777777" w:rsidR="000332EB" w:rsidRDefault="000332EB" w:rsidP="000332EB"/>
        </w:tc>
        <w:tc>
          <w:tcPr>
            <w:tcW w:w="1812" w:type="dxa"/>
          </w:tcPr>
          <w:p w14:paraId="6EA2DB49" w14:textId="77777777" w:rsidR="000332EB" w:rsidRDefault="000332EB" w:rsidP="000332EB"/>
        </w:tc>
        <w:tc>
          <w:tcPr>
            <w:tcW w:w="1812" w:type="dxa"/>
            <w:gridSpan w:val="2"/>
          </w:tcPr>
          <w:p w14:paraId="78C38470" w14:textId="77777777" w:rsidR="000332EB" w:rsidRDefault="000332EB" w:rsidP="000332EB"/>
        </w:tc>
        <w:tc>
          <w:tcPr>
            <w:tcW w:w="1813" w:type="dxa"/>
          </w:tcPr>
          <w:p w14:paraId="7FBCC5E1" w14:textId="60B5004F" w:rsidR="000332EB" w:rsidRDefault="00502E14" w:rsidP="00502E14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0800390F" w14:textId="77777777" w:rsidR="000332EB" w:rsidRDefault="000332EB" w:rsidP="000332EB"/>
        </w:tc>
      </w:tr>
    </w:tbl>
    <w:p w14:paraId="2269EE26" w14:textId="77777777" w:rsidR="00537323" w:rsidRDefault="00537323"/>
    <w:p w14:paraId="54E1EF36" w14:textId="7D57FA62" w:rsidR="003241F3" w:rsidRDefault="003241F3">
      <w:r>
        <w:br w:type="page"/>
      </w:r>
    </w:p>
    <w:p w14:paraId="332D8866" w14:textId="77777777" w:rsidR="00537323" w:rsidRDefault="00537323"/>
    <w:p w14:paraId="7AA2C86D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7B8A1A04" w14:textId="77777777" w:rsidTr="00537323">
        <w:tc>
          <w:tcPr>
            <w:tcW w:w="9062" w:type="dxa"/>
            <w:gridSpan w:val="6"/>
          </w:tcPr>
          <w:p w14:paraId="51EFE752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De beheersinstantie beschikt over de nodige blijvende financiering om het ontsluiten van de gegevens via de gegevensstromen te garanderen</w:t>
            </w:r>
          </w:p>
        </w:tc>
      </w:tr>
      <w:tr w:rsidR="00537323" w14:paraId="4AF4C5D0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7C14F480" w14:textId="54094AB3" w:rsidR="00537323" w:rsidRDefault="00221D85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109C9AE2" w14:textId="77777777" w:rsidTr="00537323">
        <w:tc>
          <w:tcPr>
            <w:tcW w:w="9062" w:type="dxa"/>
            <w:gridSpan w:val="6"/>
          </w:tcPr>
          <w:p w14:paraId="2B55AB62" w14:textId="7205ADE1" w:rsidR="00537323" w:rsidRDefault="00E21105" w:rsidP="00537323">
            <w:r>
              <w:t xml:space="preserve">Zie vorig : </w:t>
            </w:r>
            <w:r w:rsidR="00970C67">
              <w:t>hetzelfde</w:t>
            </w:r>
            <w:r>
              <w:t xml:space="preserve"> budget.</w:t>
            </w:r>
          </w:p>
        </w:tc>
      </w:tr>
      <w:tr w:rsidR="00675BD4" w14:paraId="5903191B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62EE8021" w14:textId="465BC6E2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72B65C62" w14:textId="5C04015E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0B4AD938" w14:textId="77777777" w:rsidTr="00537323">
        <w:tc>
          <w:tcPr>
            <w:tcW w:w="4531" w:type="dxa"/>
            <w:gridSpan w:val="3"/>
          </w:tcPr>
          <w:p w14:paraId="66E7043D" w14:textId="77777777" w:rsidR="00675BD4" w:rsidRDefault="00675BD4" w:rsidP="00675BD4"/>
        </w:tc>
        <w:tc>
          <w:tcPr>
            <w:tcW w:w="4531" w:type="dxa"/>
            <w:gridSpan w:val="3"/>
          </w:tcPr>
          <w:p w14:paraId="479A736C" w14:textId="77777777" w:rsidR="00675BD4" w:rsidRDefault="00675BD4" w:rsidP="00675BD4"/>
        </w:tc>
      </w:tr>
      <w:tr w:rsidR="000332EB" w14:paraId="19EB6975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517BEACC" w14:textId="2C66F022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591AFCE1" w14:textId="77777777" w:rsidTr="00537323">
        <w:tc>
          <w:tcPr>
            <w:tcW w:w="1812" w:type="dxa"/>
            <w:shd w:val="clear" w:color="auto" w:fill="FF0000"/>
          </w:tcPr>
          <w:p w14:paraId="77395CB5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6EA67639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03126D42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74F63CE3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258ACE59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7E959F97" w14:textId="77777777" w:rsidTr="00537323">
        <w:tc>
          <w:tcPr>
            <w:tcW w:w="1812" w:type="dxa"/>
          </w:tcPr>
          <w:p w14:paraId="7B6427B0" w14:textId="77777777" w:rsidR="000332EB" w:rsidRDefault="000332EB" w:rsidP="000332EB"/>
        </w:tc>
        <w:tc>
          <w:tcPr>
            <w:tcW w:w="1812" w:type="dxa"/>
          </w:tcPr>
          <w:p w14:paraId="4C5396FA" w14:textId="77777777" w:rsidR="000332EB" w:rsidRDefault="000332EB" w:rsidP="000332EB"/>
        </w:tc>
        <w:tc>
          <w:tcPr>
            <w:tcW w:w="1812" w:type="dxa"/>
            <w:gridSpan w:val="2"/>
          </w:tcPr>
          <w:p w14:paraId="3DD3E164" w14:textId="77777777" w:rsidR="000332EB" w:rsidRDefault="000332EB" w:rsidP="000332EB"/>
        </w:tc>
        <w:tc>
          <w:tcPr>
            <w:tcW w:w="1813" w:type="dxa"/>
          </w:tcPr>
          <w:p w14:paraId="047A9ABD" w14:textId="1D79A17C" w:rsidR="000332EB" w:rsidRDefault="00D27162" w:rsidP="00D2716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6E8EFD3A" w14:textId="77777777" w:rsidR="000332EB" w:rsidRDefault="000332EB" w:rsidP="000332EB"/>
        </w:tc>
      </w:tr>
    </w:tbl>
    <w:p w14:paraId="4D185812" w14:textId="18C5B083" w:rsidR="003241F3" w:rsidRDefault="003241F3"/>
    <w:p w14:paraId="7311424A" w14:textId="77777777" w:rsidR="003241F3" w:rsidRDefault="003241F3">
      <w:r>
        <w:br w:type="page"/>
      </w:r>
      <w:bookmarkStart w:id="0" w:name="_GoBack"/>
      <w:bookmarkEnd w:id="0"/>
    </w:p>
    <w:p w14:paraId="644DD3DD" w14:textId="77777777" w:rsidR="00537323" w:rsidRDefault="00537323"/>
    <w:p w14:paraId="39F779E4" w14:textId="77777777" w:rsidR="00537323" w:rsidRDefault="00537323" w:rsidP="00537323">
      <w:pPr>
        <w:pStyle w:val="Kop1"/>
        <w:numPr>
          <w:ilvl w:val="0"/>
          <w:numId w:val="1"/>
        </w:numPr>
      </w:pPr>
      <w:r>
        <w:t>Erkenningscriteria m.b.t. de interoperabiliteit van de gegevens</w:t>
      </w:r>
    </w:p>
    <w:p w14:paraId="660BE104" w14:textId="77777777" w:rsidR="00537323" w:rsidRDefault="00537323"/>
    <w:p w14:paraId="70C43157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3E54A13B" w14:textId="77777777" w:rsidTr="00537323">
        <w:tc>
          <w:tcPr>
            <w:tcW w:w="9062" w:type="dxa"/>
            <w:gridSpan w:val="6"/>
          </w:tcPr>
          <w:p w14:paraId="31A5BD1C" w14:textId="77777777" w:rsidR="00537323" w:rsidRPr="006F115B" w:rsidRDefault="00537323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Semantische interoperabiliteit: de betekenis van de gegevens is in lijn met standaarden die erkend zijn door het Stuurorgaan, OSLO-, interfederale-, Europese- en/of internationale standaarden</w:t>
            </w:r>
          </w:p>
        </w:tc>
      </w:tr>
      <w:tr w:rsidR="00537323" w14:paraId="3399B018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4FBA27E7" w14:textId="0383AA38" w:rsidR="00537323" w:rsidRDefault="00221D85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537323" w14:paraId="2C5231BC" w14:textId="77777777" w:rsidTr="00537323">
        <w:tc>
          <w:tcPr>
            <w:tcW w:w="9062" w:type="dxa"/>
            <w:gridSpan w:val="6"/>
          </w:tcPr>
          <w:p w14:paraId="2A056721" w14:textId="0D4CB139" w:rsidR="00537323" w:rsidRDefault="00406B2C" w:rsidP="00537323">
            <w:r>
              <w:t>De betekenis van de gegevens is binnen onderwijs standaard.  Of het ook internationaal standaard is, moet nog onderzocht</w:t>
            </w:r>
          </w:p>
        </w:tc>
      </w:tr>
      <w:tr w:rsidR="00675BD4" w14:paraId="2F149FF4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684ABD7B" w14:textId="0AB88FCB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1653FCC4" w14:textId="6B60F5F5" w:rsidR="00675BD4" w:rsidRDefault="00675BD4" w:rsidP="00AD791F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675BD4" w14:paraId="07079873" w14:textId="77777777" w:rsidTr="00537323">
        <w:tc>
          <w:tcPr>
            <w:tcW w:w="4531" w:type="dxa"/>
            <w:gridSpan w:val="3"/>
          </w:tcPr>
          <w:p w14:paraId="454928AF" w14:textId="6963B804" w:rsidR="00675BD4" w:rsidRDefault="00E41C38" w:rsidP="00675BD4">
            <w:r>
              <w:t>Er is standaardisatie binnen die diensten van onderwijs.</w:t>
            </w:r>
          </w:p>
        </w:tc>
        <w:tc>
          <w:tcPr>
            <w:tcW w:w="4531" w:type="dxa"/>
            <w:gridSpan w:val="3"/>
          </w:tcPr>
          <w:p w14:paraId="22AAA1A2" w14:textId="4265CD24" w:rsidR="00675BD4" w:rsidRDefault="00E41C38" w:rsidP="00675BD4">
            <w:r>
              <w:t>Of die standaarden voldoen aan de internationale standaarden, moet nog onderzocht.</w:t>
            </w:r>
          </w:p>
        </w:tc>
      </w:tr>
      <w:tr w:rsidR="000332EB" w14:paraId="6F09157F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49702A06" w14:textId="6A1EEECE" w:rsidR="000332EB" w:rsidRDefault="000332EB" w:rsidP="00AD791F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0332EB" w14:paraId="6C4621A1" w14:textId="77777777" w:rsidTr="00537323">
        <w:tc>
          <w:tcPr>
            <w:tcW w:w="1812" w:type="dxa"/>
            <w:shd w:val="clear" w:color="auto" w:fill="FF0000"/>
          </w:tcPr>
          <w:p w14:paraId="4A8AA9DD" w14:textId="77777777" w:rsidR="000332EB" w:rsidRPr="00A137DE" w:rsidRDefault="000332EB" w:rsidP="000332EB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44A35F86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4A946228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39868780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790913B6" w14:textId="77777777" w:rsidR="000332EB" w:rsidRDefault="000332EB" w:rsidP="000332EB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0332EB" w14:paraId="757C176E" w14:textId="77777777" w:rsidTr="00537323">
        <w:tc>
          <w:tcPr>
            <w:tcW w:w="1812" w:type="dxa"/>
          </w:tcPr>
          <w:p w14:paraId="598508B6" w14:textId="77777777" w:rsidR="000332EB" w:rsidRDefault="000332EB" w:rsidP="000332EB"/>
        </w:tc>
        <w:tc>
          <w:tcPr>
            <w:tcW w:w="1812" w:type="dxa"/>
          </w:tcPr>
          <w:p w14:paraId="5FAC0542" w14:textId="5E34CC90" w:rsidR="000332EB" w:rsidRDefault="00D27162" w:rsidP="00D27162">
            <w:pPr>
              <w:jc w:val="center"/>
            </w:pPr>
            <w:r>
              <w:t>x</w:t>
            </w:r>
          </w:p>
        </w:tc>
        <w:tc>
          <w:tcPr>
            <w:tcW w:w="1812" w:type="dxa"/>
            <w:gridSpan w:val="2"/>
          </w:tcPr>
          <w:p w14:paraId="65529854" w14:textId="77777777" w:rsidR="000332EB" w:rsidRDefault="000332EB" w:rsidP="000332EB"/>
        </w:tc>
        <w:tc>
          <w:tcPr>
            <w:tcW w:w="1813" w:type="dxa"/>
          </w:tcPr>
          <w:p w14:paraId="2CAAC92D" w14:textId="77777777" w:rsidR="000332EB" w:rsidRDefault="000332EB" w:rsidP="000332EB"/>
        </w:tc>
        <w:tc>
          <w:tcPr>
            <w:tcW w:w="1813" w:type="dxa"/>
          </w:tcPr>
          <w:p w14:paraId="2EF48416" w14:textId="77777777" w:rsidR="000332EB" w:rsidRDefault="000332EB" w:rsidP="000332EB"/>
        </w:tc>
      </w:tr>
    </w:tbl>
    <w:p w14:paraId="349BD631" w14:textId="77777777" w:rsidR="00537323" w:rsidRDefault="00537323"/>
    <w:p w14:paraId="5974D9C2" w14:textId="782913A1" w:rsidR="003241F3" w:rsidRDefault="003241F3">
      <w:r>
        <w:br w:type="page"/>
      </w:r>
    </w:p>
    <w:p w14:paraId="5AE30657" w14:textId="77777777" w:rsidR="00537323" w:rsidRDefault="00537323"/>
    <w:p w14:paraId="72D2DE03" w14:textId="77777777" w:rsidR="00537323" w:rsidRDefault="005373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907"/>
        <w:gridCol w:w="905"/>
        <w:gridCol w:w="1813"/>
        <w:gridCol w:w="1813"/>
      </w:tblGrid>
      <w:tr w:rsidR="00537323" w14:paraId="61CE8EAB" w14:textId="77777777" w:rsidTr="00537323">
        <w:tc>
          <w:tcPr>
            <w:tcW w:w="9062" w:type="dxa"/>
            <w:gridSpan w:val="6"/>
          </w:tcPr>
          <w:p w14:paraId="1E9C0091" w14:textId="77777777" w:rsidR="00537323" w:rsidRPr="006F115B" w:rsidRDefault="00F472BF" w:rsidP="00537323">
            <w:pPr>
              <w:rPr>
                <w:color w:val="0070C0"/>
              </w:rPr>
            </w:pPr>
            <w:r w:rsidRPr="006F115B">
              <w:rPr>
                <w:color w:val="0070C0"/>
              </w:rPr>
              <w:t>Technische interoperabiliteit: de gegevens zijn beschikbaar in een open dataformaat dat toelaat om de informatie te raadplegen en te verwerken en vrij is van licentie rechten .</w:t>
            </w:r>
          </w:p>
        </w:tc>
      </w:tr>
      <w:tr w:rsidR="00537323" w14:paraId="6DB4590A" w14:textId="77777777" w:rsidTr="00537323">
        <w:tc>
          <w:tcPr>
            <w:tcW w:w="9062" w:type="dxa"/>
            <w:gridSpan w:val="6"/>
            <w:shd w:val="clear" w:color="auto" w:fill="BFBFBF" w:themeFill="background1" w:themeFillShade="BF"/>
          </w:tcPr>
          <w:p w14:paraId="4C4427B6" w14:textId="6D25DD1D" w:rsidR="00537323" w:rsidRDefault="00221D85" w:rsidP="00AD791F">
            <w:pPr>
              <w:jc w:val="center"/>
            </w:pPr>
            <w:r w:rsidRPr="00DD080B">
              <w:rPr>
                <w:b/>
                <w:bCs/>
              </w:rPr>
              <w:t>Licht de manier waarop dit gerealiseerd werd/wordt kort toe</w:t>
            </w:r>
          </w:p>
        </w:tc>
      </w:tr>
      <w:tr w:rsidR="00A273A4" w14:paraId="453B0BD5" w14:textId="77777777" w:rsidTr="00537323">
        <w:tc>
          <w:tcPr>
            <w:tcW w:w="9062" w:type="dxa"/>
            <w:gridSpan w:val="6"/>
          </w:tcPr>
          <w:p w14:paraId="3AC8D25D" w14:textId="37EF0064" w:rsidR="00A273A4" w:rsidRDefault="00A273A4" w:rsidP="00A273A4">
            <w:r>
              <w:t>De gegevens uitwisseling i.k.v. Discimus met de scholen is m.b.v. SOAP berichten.  Dit is een algemene standaard.</w:t>
            </w:r>
          </w:p>
        </w:tc>
      </w:tr>
      <w:tr w:rsidR="00A273A4" w14:paraId="2D8908A4" w14:textId="77777777" w:rsidTr="00537323">
        <w:tc>
          <w:tcPr>
            <w:tcW w:w="4531" w:type="dxa"/>
            <w:gridSpan w:val="3"/>
            <w:shd w:val="clear" w:color="auto" w:fill="BFBFBF" w:themeFill="background1" w:themeFillShade="BF"/>
          </w:tcPr>
          <w:p w14:paraId="0541C040" w14:textId="1DB705A9" w:rsidR="00A273A4" w:rsidRDefault="00A273A4" w:rsidP="00A273A4">
            <w:pPr>
              <w:jc w:val="center"/>
            </w:pPr>
            <w:r w:rsidRPr="000A28B5">
              <w:rPr>
                <w:b/>
                <w:bCs/>
              </w:rPr>
              <w:t>Sterke punten</w:t>
            </w:r>
          </w:p>
        </w:tc>
        <w:tc>
          <w:tcPr>
            <w:tcW w:w="4531" w:type="dxa"/>
            <w:gridSpan w:val="3"/>
            <w:shd w:val="clear" w:color="auto" w:fill="BFBFBF" w:themeFill="background1" w:themeFillShade="BF"/>
          </w:tcPr>
          <w:p w14:paraId="467910DF" w14:textId="0AE10DD8" w:rsidR="00A273A4" w:rsidRDefault="00A273A4" w:rsidP="00A273A4">
            <w:pPr>
              <w:jc w:val="center"/>
            </w:pPr>
            <w:r w:rsidRPr="000A28B5">
              <w:rPr>
                <w:b/>
                <w:bCs/>
              </w:rPr>
              <w:t>Aandachtspunten</w:t>
            </w:r>
          </w:p>
        </w:tc>
      </w:tr>
      <w:tr w:rsidR="00A273A4" w14:paraId="203BE2F6" w14:textId="77777777" w:rsidTr="00537323">
        <w:tc>
          <w:tcPr>
            <w:tcW w:w="4531" w:type="dxa"/>
            <w:gridSpan w:val="3"/>
          </w:tcPr>
          <w:p w14:paraId="7D1D35F2" w14:textId="038D4F78" w:rsidR="00A273A4" w:rsidRDefault="00A273A4" w:rsidP="00A273A4">
            <w:r>
              <w:t xml:space="preserve">De SOAP standaarden worden gebruikt. </w:t>
            </w:r>
          </w:p>
        </w:tc>
        <w:tc>
          <w:tcPr>
            <w:tcW w:w="4531" w:type="dxa"/>
            <w:gridSpan w:val="3"/>
          </w:tcPr>
          <w:p w14:paraId="64AB71DC" w14:textId="77777777" w:rsidR="00A273A4" w:rsidRDefault="00A273A4" w:rsidP="00A273A4"/>
        </w:tc>
      </w:tr>
      <w:tr w:rsidR="00A273A4" w14:paraId="7A3094DA" w14:textId="77777777" w:rsidTr="00AD791F">
        <w:tc>
          <w:tcPr>
            <w:tcW w:w="9062" w:type="dxa"/>
            <w:gridSpan w:val="6"/>
            <w:shd w:val="clear" w:color="auto" w:fill="BFBFBF" w:themeFill="background1" w:themeFillShade="BF"/>
          </w:tcPr>
          <w:p w14:paraId="347EA945" w14:textId="59F39EC9" w:rsidR="00A273A4" w:rsidRDefault="00A273A4" w:rsidP="00A273A4">
            <w:pPr>
              <w:jc w:val="center"/>
            </w:pPr>
            <w:r w:rsidRPr="000A28B5">
              <w:rPr>
                <w:b/>
                <w:bCs/>
              </w:rPr>
              <w:t>Inschatting maturiteitsniveau</w:t>
            </w:r>
          </w:p>
        </w:tc>
      </w:tr>
      <w:tr w:rsidR="00A273A4" w14:paraId="77535D64" w14:textId="77777777" w:rsidTr="00537323">
        <w:tc>
          <w:tcPr>
            <w:tcW w:w="1812" w:type="dxa"/>
            <w:shd w:val="clear" w:color="auto" w:fill="FF0000"/>
          </w:tcPr>
          <w:p w14:paraId="34CB78C4" w14:textId="77777777" w:rsidR="00A273A4" w:rsidRPr="00A137DE" w:rsidRDefault="00A273A4" w:rsidP="00A273A4">
            <w:pPr>
              <w:jc w:val="center"/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shd w:val="clear" w:color="auto" w:fill="FFC000"/>
          </w:tcPr>
          <w:p w14:paraId="7CE4BD8F" w14:textId="77777777" w:rsidR="00A273A4" w:rsidRDefault="00A273A4" w:rsidP="00A273A4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2" w:type="dxa"/>
            <w:gridSpan w:val="2"/>
            <w:shd w:val="clear" w:color="auto" w:fill="FFFF00"/>
          </w:tcPr>
          <w:p w14:paraId="6E49064A" w14:textId="77777777" w:rsidR="00A273A4" w:rsidRDefault="00A273A4" w:rsidP="00A273A4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92D050"/>
          </w:tcPr>
          <w:p w14:paraId="02834218" w14:textId="77777777" w:rsidR="00A273A4" w:rsidRDefault="00A273A4" w:rsidP="00A273A4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ebdings" w:char="F098"/>
            </w:r>
          </w:p>
        </w:tc>
        <w:tc>
          <w:tcPr>
            <w:tcW w:w="1813" w:type="dxa"/>
            <w:shd w:val="clear" w:color="auto" w:fill="00B050"/>
          </w:tcPr>
          <w:p w14:paraId="008B33EB" w14:textId="77777777" w:rsidR="00A273A4" w:rsidRDefault="00A273A4" w:rsidP="00A273A4">
            <w:pPr>
              <w:jc w:val="center"/>
            </w:pP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  <w:r>
              <w:rPr>
                <w:rFonts w:ascii="Webdings" w:hAnsi="Webdings"/>
              </w:rPr>
              <w:sym w:font="Wingdings" w:char="F0AB"/>
            </w:r>
          </w:p>
        </w:tc>
      </w:tr>
      <w:tr w:rsidR="00A273A4" w14:paraId="6D735BE5" w14:textId="77777777" w:rsidTr="00537323">
        <w:tc>
          <w:tcPr>
            <w:tcW w:w="1812" w:type="dxa"/>
          </w:tcPr>
          <w:p w14:paraId="5432BDCE" w14:textId="77777777" w:rsidR="00A273A4" w:rsidRDefault="00A273A4" w:rsidP="00A273A4"/>
        </w:tc>
        <w:tc>
          <w:tcPr>
            <w:tcW w:w="1812" w:type="dxa"/>
          </w:tcPr>
          <w:p w14:paraId="39A87801" w14:textId="77777777" w:rsidR="00A273A4" w:rsidRDefault="00A273A4" w:rsidP="00A273A4"/>
        </w:tc>
        <w:tc>
          <w:tcPr>
            <w:tcW w:w="1812" w:type="dxa"/>
            <w:gridSpan w:val="2"/>
          </w:tcPr>
          <w:p w14:paraId="0F1094FC" w14:textId="77777777" w:rsidR="00A273A4" w:rsidRDefault="00A273A4" w:rsidP="00A273A4"/>
        </w:tc>
        <w:tc>
          <w:tcPr>
            <w:tcW w:w="1813" w:type="dxa"/>
          </w:tcPr>
          <w:p w14:paraId="0A303A21" w14:textId="77777777" w:rsidR="00A273A4" w:rsidRDefault="00A273A4" w:rsidP="00A273A4"/>
        </w:tc>
        <w:tc>
          <w:tcPr>
            <w:tcW w:w="1813" w:type="dxa"/>
          </w:tcPr>
          <w:p w14:paraId="7732A867" w14:textId="2A98AB32" w:rsidR="00A273A4" w:rsidRDefault="00A273A4" w:rsidP="00A273A4">
            <w:pPr>
              <w:jc w:val="center"/>
            </w:pPr>
            <w:r>
              <w:t>x</w:t>
            </w:r>
          </w:p>
        </w:tc>
      </w:tr>
    </w:tbl>
    <w:p w14:paraId="7D99505B" w14:textId="77777777" w:rsidR="00537323" w:rsidRDefault="00537323"/>
    <w:p w14:paraId="7DACB01C" w14:textId="77777777" w:rsidR="00537323" w:rsidRDefault="00537323"/>
    <w:sectPr w:rsidR="00537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CB065" w14:textId="77777777" w:rsidR="00AB61E2" w:rsidRDefault="00AB61E2" w:rsidP="003B4269">
      <w:pPr>
        <w:spacing w:after="0" w:line="240" w:lineRule="auto"/>
      </w:pPr>
      <w:r>
        <w:separator/>
      </w:r>
    </w:p>
  </w:endnote>
  <w:endnote w:type="continuationSeparator" w:id="0">
    <w:p w14:paraId="2CA94D58" w14:textId="77777777" w:rsidR="00AB61E2" w:rsidRDefault="00AB61E2" w:rsidP="003B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3B567" w14:textId="77777777" w:rsidR="00AB61E2" w:rsidRDefault="00AB61E2" w:rsidP="003B4269">
      <w:pPr>
        <w:spacing w:after="0" w:line="240" w:lineRule="auto"/>
      </w:pPr>
      <w:r>
        <w:separator/>
      </w:r>
    </w:p>
  </w:footnote>
  <w:footnote w:type="continuationSeparator" w:id="0">
    <w:p w14:paraId="69C0BE60" w14:textId="77777777" w:rsidR="00AB61E2" w:rsidRDefault="00AB61E2" w:rsidP="003B4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1531"/>
    <w:multiLevelType w:val="hybridMultilevel"/>
    <w:tmpl w:val="DA8CCA4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BE0"/>
    <w:multiLevelType w:val="hybridMultilevel"/>
    <w:tmpl w:val="DA8CCA4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090C"/>
    <w:multiLevelType w:val="hybridMultilevel"/>
    <w:tmpl w:val="DA8CCA4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D0883"/>
    <w:multiLevelType w:val="hybridMultilevel"/>
    <w:tmpl w:val="DA8CCA4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5F87"/>
    <w:multiLevelType w:val="hybridMultilevel"/>
    <w:tmpl w:val="DA8CCA4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B3375"/>
    <w:multiLevelType w:val="hybridMultilevel"/>
    <w:tmpl w:val="A524C314"/>
    <w:lvl w:ilvl="0" w:tplc="7D0CDD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42F9D"/>
    <w:multiLevelType w:val="hybridMultilevel"/>
    <w:tmpl w:val="DA8CCA4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69"/>
    <w:rsid w:val="00001578"/>
    <w:rsid w:val="0002269A"/>
    <w:rsid w:val="000332EB"/>
    <w:rsid w:val="0004070E"/>
    <w:rsid w:val="000A28B5"/>
    <w:rsid w:val="000A7D6E"/>
    <w:rsid w:val="000B5899"/>
    <w:rsid w:val="00116984"/>
    <w:rsid w:val="00116A56"/>
    <w:rsid w:val="001311D0"/>
    <w:rsid w:val="00136DBE"/>
    <w:rsid w:val="00140EA7"/>
    <w:rsid w:val="001442FF"/>
    <w:rsid w:val="00176A55"/>
    <w:rsid w:val="001E06E9"/>
    <w:rsid w:val="00211E81"/>
    <w:rsid w:val="002151C2"/>
    <w:rsid w:val="00221D85"/>
    <w:rsid w:val="00235C52"/>
    <w:rsid w:val="00242DD4"/>
    <w:rsid w:val="0026046B"/>
    <w:rsid w:val="00263533"/>
    <w:rsid w:val="002778FD"/>
    <w:rsid w:val="002C3F35"/>
    <w:rsid w:val="002F0985"/>
    <w:rsid w:val="002F3293"/>
    <w:rsid w:val="002F5096"/>
    <w:rsid w:val="003026C1"/>
    <w:rsid w:val="00307379"/>
    <w:rsid w:val="00313CF2"/>
    <w:rsid w:val="003241F3"/>
    <w:rsid w:val="00330407"/>
    <w:rsid w:val="00330B02"/>
    <w:rsid w:val="00352627"/>
    <w:rsid w:val="00366FE6"/>
    <w:rsid w:val="003749C9"/>
    <w:rsid w:val="0038031F"/>
    <w:rsid w:val="0039127E"/>
    <w:rsid w:val="00393836"/>
    <w:rsid w:val="003A73FB"/>
    <w:rsid w:val="003B4269"/>
    <w:rsid w:val="00402FFF"/>
    <w:rsid w:val="00406B2C"/>
    <w:rsid w:val="00422C71"/>
    <w:rsid w:val="004652E9"/>
    <w:rsid w:val="004B76C6"/>
    <w:rsid w:val="004D3524"/>
    <w:rsid w:val="00501BB2"/>
    <w:rsid w:val="00502E14"/>
    <w:rsid w:val="005108FC"/>
    <w:rsid w:val="0053404D"/>
    <w:rsid w:val="00537323"/>
    <w:rsid w:val="00562538"/>
    <w:rsid w:val="00564565"/>
    <w:rsid w:val="005674CC"/>
    <w:rsid w:val="00581931"/>
    <w:rsid w:val="005864BD"/>
    <w:rsid w:val="005B3FD1"/>
    <w:rsid w:val="005C2CB7"/>
    <w:rsid w:val="005D5965"/>
    <w:rsid w:val="005E46C1"/>
    <w:rsid w:val="005F198C"/>
    <w:rsid w:val="00614FA1"/>
    <w:rsid w:val="006262F4"/>
    <w:rsid w:val="00645675"/>
    <w:rsid w:val="00655448"/>
    <w:rsid w:val="00660EDE"/>
    <w:rsid w:val="00673286"/>
    <w:rsid w:val="00675BD4"/>
    <w:rsid w:val="00677436"/>
    <w:rsid w:val="006A0236"/>
    <w:rsid w:val="006C5B16"/>
    <w:rsid w:val="006F115B"/>
    <w:rsid w:val="00721471"/>
    <w:rsid w:val="0073348B"/>
    <w:rsid w:val="00740A66"/>
    <w:rsid w:val="00753D9A"/>
    <w:rsid w:val="007674E3"/>
    <w:rsid w:val="007760B6"/>
    <w:rsid w:val="0078132A"/>
    <w:rsid w:val="00790687"/>
    <w:rsid w:val="0079285D"/>
    <w:rsid w:val="007A3746"/>
    <w:rsid w:val="007C7881"/>
    <w:rsid w:val="007E2F9A"/>
    <w:rsid w:val="007E33BF"/>
    <w:rsid w:val="007E3D3B"/>
    <w:rsid w:val="007F63BD"/>
    <w:rsid w:val="00811F0E"/>
    <w:rsid w:val="00813551"/>
    <w:rsid w:val="00830A33"/>
    <w:rsid w:val="008461BD"/>
    <w:rsid w:val="008574AA"/>
    <w:rsid w:val="00861323"/>
    <w:rsid w:val="00863EC6"/>
    <w:rsid w:val="008A5F7E"/>
    <w:rsid w:val="008B54C8"/>
    <w:rsid w:val="008E2BFE"/>
    <w:rsid w:val="00901AAC"/>
    <w:rsid w:val="00952BF0"/>
    <w:rsid w:val="00970C67"/>
    <w:rsid w:val="009A278C"/>
    <w:rsid w:val="009A2AD0"/>
    <w:rsid w:val="00A02A59"/>
    <w:rsid w:val="00A0434A"/>
    <w:rsid w:val="00A129D7"/>
    <w:rsid w:val="00A137DE"/>
    <w:rsid w:val="00A14CE0"/>
    <w:rsid w:val="00A273A4"/>
    <w:rsid w:val="00A873A5"/>
    <w:rsid w:val="00A91617"/>
    <w:rsid w:val="00AB61E2"/>
    <w:rsid w:val="00AC5CE5"/>
    <w:rsid w:val="00AD791F"/>
    <w:rsid w:val="00B156AF"/>
    <w:rsid w:val="00B26FB5"/>
    <w:rsid w:val="00B60820"/>
    <w:rsid w:val="00B9747A"/>
    <w:rsid w:val="00BA729B"/>
    <w:rsid w:val="00BC25A2"/>
    <w:rsid w:val="00BD647F"/>
    <w:rsid w:val="00BE6C34"/>
    <w:rsid w:val="00C01152"/>
    <w:rsid w:val="00C02D88"/>
    <w:rsid w:val="00C16C44"/>
    <w:rsid w:val="00C307E1"/>
    <w:rsid w:val="00C5219A"/>
    <w:rsid w:val="00C54B8F"/>
    <w:rsid w:val="00C56AF3"/>
    <w:rsid w:val="00C657B3"/>
    <w:rsid w:val="00CA3F33"/>
    <w:rsid w:val="00CB3F95"/>
    <w:rsid w:val="00CE7A3B"/>
    <w:rsid w:val="00D03325"/>
    <w:rsid w:val="00D1035D"/>
    <w:rsid w:val="00D27162"/>
    <w:rsid w:val="00D31525"/>
    <w:rsid w:val="00D42787"/>
    <w:rsid w:val="00D5337D"/>
    <w:rsid w:val="00D81DA7"/>
    <w:rsid w:val="00D85B6C"/>
    <w:rsid w:val="00DB4B94"/>
    <w:rsid w:val="00DC7177"/>
    <w:rsid w:val="00DD080B"/>
    <w:rsid w:val="00E12B77"/>
    <w:rsid w:val="00E21105"/>
    <w:rsid w:val="00E30307"/>
    <w:rsid w:val="00E41C23"/>
    <w:rsid w:val="00E41C38"/>
    <w:rsid w:val="00E970CD"/>
    <w:rsid w:val="00ED03E0"/>
    <w:rsid w:val="00EE5D2C"/>
    <w:rsid w:val="00EE7D89"/>
    <w:rsid w:val="00EF4867"/>
    <w:rsid w:val="00F135E4"/>
    <w:rsid w:val="00F232BE"/>
    <w:rsid w:val="00F24AB1"/>
    <w:rsid w:val="00F414F9"/>
    <w:rsid w:val="00F472BF"/>
    <w:rsid w:val="00F62DC9"/>
    <w:rsid w:val="00F730C6"/>
    <w:rsid w:val="00F97708"/>
    <w:rsid w:val="00FA7960"/>
    <w:rsid w:val="00FC6DE5"/>
    <w:rsid w:val="00FD6776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F37F6"/>
  <w15:chartTrackingRefBased/>
  <w15:docId w15:val="{E634C1FC-DF3E-48EC-8646-C089A668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7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37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4567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567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A129D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81DA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81DA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81DA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81DA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81DA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81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1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iscimus@ond.vlaanderen.be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ta-onderwijs.vlaanderen.be/edulex/document.aspx?docid=1434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6A992C3F584E9B9EE8DBA11D9CD0" ma:contentTypeVersion="12" ma:contentTypeDescription="Een nieuw document maken." ma:contentTypeScope="" ma:versionID="846e9f72ee8639be3cfb601cde9d36d7">
  <xsd:schema xmlns:xsd="http://www.w3.org/2001/XMLSchema" xmlns:xs="http://www.w3.org/2001/XMLSchema" xmlns:p="http://schemas.microsoft.com/office/2006/metadata/properties" xmlns:ns2="7b058369-ebea-4acd-a3d5-e768979221f3" xmlns:ns3="295d4b4e-86ec-4d95-8040-ec51c8007493" targetNamespace="http://schemas.microsoft.com/office/2006/metadata/properties" ma:root="true" ma:fieldsID="e5e4b072aa7b99f79216416a8bd13115" ns2:_="" ns3:_="">
    <xsd:import namespace="7b058369-ebea-4acd-a3d5-e768979221f3"/>
    <xsd:import namespace="295d4b4e-86ec-4d95-8040-ec51c8007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58369-ebea-4acd-a3d5-e768979221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d4b4e-86ec-4d95-8040-ec51c8007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AF0BA-B041-412E-81E7-13FC644CC32A}"/>
</file>

<file path=customXml/itemProps2.xml><?xml version="1.0" encoding="utf-8"?>
<ds:datastoreItem xmlns:ds="http://schemas.openxmlformats.org/officeDocument/2006/customXml" ds:itemID="{53A9685D-112D-47E1-ADBB-5AACB387F7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AAAED4-0014-4FA2-B49A-ACD8ECA504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2504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Poucke Peter</dc:creator>
  <cp:keywords/>
  <dc:description/>
  <cp:lastModifiedBy>DEFRANC Elke</cp:lastModifiedBy>
  <cp:revision>3</cp:revision>
  <dcterms:created xsi:type="dcterms:W3CDTF">2020-12-03T13:47:00Z</dcterms:created>
  <dcterms:modified xsi:type="dcterms:W3CDTF">2020-12-03T13:55:00Z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0x0101008F5E6A992C3F584E9B9EE8DBA11D9CD0</vt:lpwstr>
  </property>
</Properties>
</file>