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4697" w14:textId="33ED2090" w:rsidR="005811B2" w:rsidRDefault="00D069BB">
      <w:pPr>
        <w:pStyle w:val="Ondertitel"/>
        <w:sectPr w:rsidR="005811B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211" w:right="851" w:bottom="2552" w:left="1134" w:header="0" w:footer="708" w:gutter="0"/>
          <w:pgNumType w:start="1"/>
          <w:cols w:space="708"/>
          <w:titlePg/>
        </w:sectPr>
      </w:pPr>
      <w:r>
        <w:rPr>
          <w:b/>
          <w:color w:val="FFF200"/>
        </w:rPr>
        <w:t>///</w:t>
      </w:r>
      <w:r>
        <w:t xml:space="preserve"> </w:t>
      </w:r>
      <w:r w:rsidR="00816894">
        <w:t>kandidaat authentieke gegevensbron</w:t>
      </w:r>
      <w:r>
        <w:t xml:space="preserve"> </w:t>
      </w:r>
      <w:r w:rsidR="004B35F0">
        <w:t>VERKOOPPRIJZEN ONROERENDE GOEDEREN</w:t>
      </w:r>
    </w:p>
    <w:p w14:paraId="27094698" w14:textId="77777777" w:rsidR="005811B2" w:rsidRDefault="00D069BB" w:rsidP="009544DB">
      <w:pPr>
        <w:pStyle w:val="Kop1"/>
        <w:numPr>
          <w:ilvl w:val="0"/>
          <w:numId w:val="21"/>
        </w:numPr>
      </w:pPr>
      <w:r w:rsidRPr="009544DB">
        <w:t>Overzicht</w:t>
      </w:r>
    </w:p>
    <w:tbl>
      <w:tblPr>
        <w:tblStyle w:val="a"/>
        <w:tblW w:w="9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590"/>
      </w:tblGrid>
      <w:tr w:rsidR="005811B2" w14:paraId="2709469B" w14:textId="77777777">
        <w:trPr>
          <w:trHeight w:val="420"/>
        </w:trPr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9" w14:textId="77777777" w:rsidR="005811B2" w:rsidRDefault="00D069BB">
            <w:pPr>
              <w:widowControl w:val="0"/>
              <w:spacing w:before="0" w:after="0" w:line="240" w:lineRule="auto"/>
            </w:pPr>
            <w:r>
              <w:t>Startdatum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A" w14:textId="2FEA2021" w:rsidR="005811B2" w:rsidRDefault="00A47993">
            <w:pPr>
              <w:widowControl w:val="0"/>
              <w:spacing w:before="0" w:after="0" w:line="240" w:lineRule="auto"/>
            </w:pPr>
            <w:r>
              <w:t>16 april 2019</w:t>
            </w:r>
          </w:p>
        </w:tc>
      </w:tr>
      <w:tr w:rsidR="005811B2" w14:paraId="2709469E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C" w14:textId="77777777" w:rsidR="005811B2" w:rsidRDefault="00D069BB">
            <w:pPr>
              <w:widowControl w:val="0"/>
              <w:spacing w:before="0" w:after="0" w:line="240" w:lineRule="auto"/>
            </w:pPr>
            <w:r>
              <w:t>Einddatum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D" w14:textId="3020D183" w:rsidR="005811B2" w:rsidRDefault="00DC3CB7">
            <w:pPr>
              <w:widowControl w:val="0"/>
              <w:spacing w:before="0" w:after="0" w:line="240" w:lineRule="auto"/>
            </w:pPr>
            <w:r>
              <w:t>2019</w:t>
            </w:r>
          </w:p>
        </w:tc>
      </w:tr>
      <w:tr w:rsidR="005811B2" w14:paraId="270946A1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F" w14:textId="77777777" w:rsidR="005811B2" w:rsidRDefault="00D069BB">
            <w:pPr>
              <w:widowControl w:val="0"/>
              <w:spacing w:before="0" w:after="0" w:line="240" w:lineRule="auto"/>
            </w:pPr>
            <w:r>
              <w:t>Voorzitter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0" w14:textId="1B5355E4" w:rsidR="005811B2" w:rsidRDefault="00A47993">
            <w:pPr>
              <w:widowControl w:val="0"/>
              <w:spacing w:before="0" w:after="0" w:line="240" w:lineRule="auto"/>
            </w:pPr>
            <w:r>
              <w:t>Vlaamse Belastingdienst</w:t>
            </w:r>
          </w:p>
        </w:tc>
      </w:tr>
      <w:tr w:rsidR="005811B2" w14:paraId="270946A4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2" w14:textId="77777777" w:rsidR="005811B2" w:rsidRDefault="00D069BB">
            <w:pPr>
              <w:widowControl w:val="0"/>
              <w:spacing w:before="0" w:after="0" w:line="240" w:lineRule="auto"/>
            </w:pPr>
            <w:r>
              <w:t>Projectteam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8EED" w14:textId="0371F5DE" w:rsidR="00366DBE" w:rsidRPr="00366DBE" w:rsidRDefault="00366DBE" w:rsidP="00FB00E4">
            <w:pPr>
              <w:pStyle w:val="Lijstalinea"/>
              <w:numPr>
                <w:ilvl w:val="0"/>
                <w:numId w:val="27"/>
              </w:numPr>
              <w:spacing w:after="0" w:line="240" w:lineRule="auto"/>
            </w:pPr>
            <w:r w:rsidRPr="00366DBE">
              <w:t>VLABEL</w:t>
            </w:r>
          </w:p>
          <w:p w14:paraId="73135653" w14:textId="6712CD17" w:rsidR="005811B2" w:rsidRDefault="00A47993" w:rsidP="00FB00E4">
            <w:pPr>
              <w:pStyle w:val="Lijstalinea"/>
              <w:numPr>
                <w:ilvl w:val="1"/>
                <w:numId w:val="27"/>
              </w:numPr>
              <w:spacing w:after="0" w:line="240" w:lineRule="auto"/>
            </w:pPr>
            <w:r>
              <w:t xml:space="preserve">Els </w:t>
            </w:r>
            <w:proofErr w:type="spellStart"/>
            <w:r>
              <w:t>Vermeir</w:t>
            </w:r>
            <w:proofErr w:type="spellEnd"/>
          </w:p>
          <w:p w14:paraId="27E327CC" w14:textId="77777777" w:rsidR="00A47993" w:rsidRDefault="00A47993" w:rsidP="00FB00E4">
            <w:pPr>
              <w:pStyle w:val="Lijstalinea"/>
              <w:numPr>
                <w:ilvl w:val="1"/>
                <w:numId w:val="27"/>
              </w:numPr>
              <w:spacing w:after="0" w:line="240" w:lineRule="auto"/>
            </w:pPr>
            <w:r>
              <w:t>Paul Van Steenwinkel</w:t>
            </w:r>
          </w:p>
          <w:p w14:paraId="6A3944FF" w14:textId="77777777" w:rsidR="00366DBE" w:rsidRDefault="00366DBE" w:rsidP="00FB00E4">
            <w:pPr>
              <w:pStyle w:val="Lijstalinea"/>
              <w:numPr>
                <w:ilvl w:val="1"/>
                <w:numId w:val="27"/>
              </w:numPr>
              <w:spacing w:after="0" w:line="240" w:lineRule="auto"/>
            </w:pPr>
            <w:r>
              <w:t>Lise Cox</w:t>
            </w:r>
          </w:p>
          <w:p w14:paraId="49D9229F" w14:textId="20D18358" w:rsidR="00366DBE" w:rsidRDefault="00366DBE" w:rsidP="00FB00E4">
            <w:pPr>
              <w:pStyle w:val="Lijstalinea"/>
              <w:numPr>
                <w:ilvl w:val="0"/>
                <w:numId w:val="27"/>
              </w:numPr>
              <w:spacing w:after="0" w:line="240" w:lineRule="auto"/>
            </w:pPr>
            <w:r>
              <w:t>Vlaamse Landmaatschappij</w:t>
            </w:r>
          </w:p>
          <w:p w14:paraId="20A89678" w14:textId="780F6818" w:rsidR="00CF3927" w:rsidRDefault="00CF3927" w:rsidP="00CF3927">
            <w:pPr>
              <w:pStyle w:val="Lijstalinea"/>
              <w:numPr>
                <w:ilvl w:val="1"/>
                <w:numId w:val="27"/>
              </w:numPr>
              <w:spacing w:after="0" w:line="240" w:lineRule="auto"/>
            </w:pPr>
            <w:r>
              <w:t>Contactpersoon nog te bepalen</w:t>
            </w:r>
          </w:p>
          <w:p w14:paraId="3B8842E8" w14:textId="76458B03" w:rsidR="00366DBE" w:rsidRDefault="00366DBE" w:rsidP="00FB00E4">
            <w:pPr>
              <w:pStyle w:val="Lijstalinea"/>
              <w:numPr>
                <w:ilvl w:val="0"/>
                <w:numId w:val="27"/>
              </w:numPr>
              <w:spacing w:after="0" w:line="240" w:lineRule="auto"/>
            </w:pPr>
            <w:r>
              <w:t>FOD Financiën – Algemene Administratie van de Patrimoniumdocumentatie (AAPD)</w:t>
            </w:r>
          </w:p>
          <w:p w14:paraId="64F2F9C8" w14:textId="59079872" w:rsidR="00CF3927" w:rsidRDefault="00CF3927" w:rsidP="00CF3927">
            <w:pPr>
              <w:pStyle w:val="Lijstalinea"/>
              <w:numPr>
                <w:ilvl w:val="1"/>
                <w:numId w:val="27"/>
              </w:numPr>
              <w:spacing w:after="0" w:line="240" w:lineRule="auto"/>
            </w:pPr>
            <w:r>
              <w:t>Hans De Bie</w:t>
            </w:r>
          </w:p>
          <w:p w14:paraId="7A4F324F" w14:textId="77777777" w:rsidR="00CF3927" w:rsidRDefault="00CF3927" w:rsidP="00FB00E4">
            <w:pPr>
              <w:pStyle w:val="Lijstalinea"/>
              <w:numPr>
                <w:ilvl w:val="0"/>
                <w:numId w:val="27"/>
              </w:numPr>
              <w:spacing w:after="0" w:line="240" w:lineRule="auto"/>
            </w:pPr>
            <w:r>
              <w:t>FOD Financiën – Bijzondere Belastinginspectie</w:t>
            </w:r>
          </w:p>
          <w:p w14:paraId="34B6EADC" w14:textId="73FB9F05" w:rsidR="00CF3927" w:rsidRDefault="00CF3927" w:rsidP="00CF3927">
            <w:pPr>
              <w:pStyle w:val="Lijstalinea"/>
              <w:numPr>
                <w:ilvl w:val="1"/>
                <w:numId w:val="27"/>
              </w:numPr>
              <w:spacing w:after="0" w:line="240" w:lineRule="auto"/>
            </w:pPr>
            <w:r>
              <w:t xml:space="preserve"> Roald </w:t>
            </w:r>
            <w:proofErr w:type="spellStart"/>
            <w:r>
              <w:t>Gillisjans</w:t>
            </w:r>
            <w:proofErr w:type="spellEnd"/>
          </w:p>
          <w:p w14:paraId="270946A3" w14:textId="37BC320E" w:rsidR="00366DBE" w:rsidRDefault="00366DBE" w:rsidP="00366DBE">
            <w:pPr>
              <w:spacing w:after="0" w:line="240" w:lineRule="auto"/>
            </w:pPr>
          </w:p>
        </w:tc>
      </w:tr>
      <w:tr w:rsidR="005811B2" w14:paraId="270946A8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5" w14:textId="25289637" w:rsidR="005811B2" w:rsidRDefault="00D069BB">
            <w:pPr>
              <w:widowControl w:val="0"/>
              <w:spacing w:before="0" w:after="0" w:line="240" w:lineRule="auto"/>
            </w:pPr>
            <w:r>
              <w:t>Geplande overlegmomenten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7" w14:textId="75A664EC" w:rsidR="005811B2" w:rsidRDefault="009600EF" w:rsidP="00FB6E3B">
            <w:pPr>
              <w:widowControl w:val="0"/>
              <w:spacing w:before="0" w:after="0" w:line="240" w:lineRule="auto"/>
              <w:contextualSpacing/>
            </w:pPr>
            <w:r>
              <w:t>Toelichting intentieverklaring/</w:t>
            </w:r>
            <w:proofErr w:type="spellStart"/>
            <w:r>
              <w:t>werkgroepcharter</w:t>
            </w:r>
            <w:proofErr w:type="spellEnd"/>
            <w:r>
              <w:t>: 14/05/2019</w:t>
            </w:r>
          </w:p>
        </w:tc>
      </w:tr>
      <w:tr w:rsidR="005811B2" w14:paraId="270946AB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9" w14:textId="77777777" w:rsidR="005811B2" w:rsidRDefault="00D069BB">
            <w:pPr>
              <w:widowControl w:val="0"/>
              <w:spacing w:before="0" w:after="0" w:line="240" w:lineRule="auto"/>
            </w:pPr>
            <w:r>
              <w:t>Beslissingscriterium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A" w14:textId="77777777" w:rsidR="005811B2" w:rsidRDefault="00D069BB">
            <w:pPr>
              <w:widowControl w:val="0"/>
              <w:spacing w:before="0" w:after="0" w:line="240" w:lineRule="auto"/>
            </w:pPr>
            <w:r>
              <w:t>Unanimiteit minus één (U-1)</w:t>
            </w:r>
          </w:p>
        </w:tc>
      </w:tr>
      <w:tr w:rsidR="007544DB" w14:paraId="270946B1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F" w14:textId="77777777" w:rsidR="007544DB" w:rsidRDefault="007544DB" w:rsidP="007544DB">
            <w:pPr>
              <w:widowControl w:val="0"/>
              <w:spacing w:before="0" w:after="0" w:line="240" w:lineRule="auto"/>
            </w:pPr>
            <w:r>
              <w:t>Locatie documentatie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B0" w14:textId="3B30D63B" w:rsidR="007544DB" w:rsidRDefault="007544DB" w:rsidP="007544DB">
            <w:pPr>
              <w:widowControl w:val="0"/>
              <w:spacing w:before="0" w:after="0" w:line="240" w:lineRule="auto"/>
            </w:pPr>
          </w:p>
        </w:tc>
      </w:tr>
      <w:tr w:rsidR="007544DB" w14:paraId="270946B4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B2" w14:textId="77777777" w:rsidR="007544DB" w:rsidRDefault="007544DB" w:rsidP="007544DB">
            <w:pPr>
              <w:widowControl w:val="0"/>
              <w:spacing w:before="0" w:after="0" w:line="240" w:lineRule="auto"/>
            </w:pPr>
            <w:r>
              <w:t xml:space="preserve">Issue </w:t>
            </w:r>
            <w:proofErr w:type="spellStart"/>
            <w:r>
              <w:t>logging</w:t>
            </w:r>
            <w:proofErr w:type="spellEnd"/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B3" w14:textId="5B97793D" w:rsidR="007544DB" w:rsidRDefault="007544DB" w:rsidP="007544DB">
            <w:pPr>
              <w:widowControl w:val="0"/>
              <w:spacing w:before="0" w:after="0" w:line="240" w:lineRule="auto"/>
            </w:pPr>
          </w:p>
        </w:tc>
      </w:tr>
    </w:tbl>
    <w:p w14:paraId="559E20A9" w14:textId="29814259" w:rsidR="00FB6E3B" w:rsidRDefault="00FB6E3B" w:rsidP="009544DB">
      <w:pPr>
        <w:pStyle w:val="Kop1"/>
        <w:numPr>
          <w:ilvl w:val="0"/>
          <w:numId w:val="21"/>
        </w:numPr>
      </w:pPr>
      <w:r>
        <w:lastRenderedPageBreak/>
        <w:t>Meerwaarde</w:t>
      </w:r>
    </w:p>
    <w:p w14:paraId="52605F1C" w14:textId="459AA8F1" w:rsidR="00A8026A" w:rsidRDefault="002D0D57" w:rsidP="00FB6E3B">
      <w:r>
        <w:t>De verkoopprijzen van onroerende goederen kunnen worden gebruikt als basis voor een schatting van vergelijkbare onroerende</w:t>
      </w:r>
      <w:r w:rsidR="00A8026A">
        <w:t xml:space="preserve"> goederen. Deze verkoopprijzen worden daarom ook “vergelijkingspunten” genoemd. De schatting op basis van vergelijkingspunten is de meest aangewezen en aanvaarde schattingsmethode. </w:t>
      </w:r>
    </w:p>
    <w:p w14:paraId="74DC8EDE" w14:textId="56F08F7C" w:rsidR="007544DB" w:rsidRPr="00F9587E" w:rsidRDefault="00A8026A" w:rsidP="00FB6E3B">
      <w:r>
        <w:t xml:space="preserve">Deze methode wordt ook opgelegd aan de </w:t>
      </w:r>
      <w:r w:rsidR="002C08C3">
        <w:t xml:space="preserve">(private) </w:t>
      </w:r>
      <w:r>
        <w:t>schatters-experten die</w:t>
      </w:r>
      <w:r w:rsidR="00DC3CB7">
        <w:t xml:space="preserve"> </w:t>
      </w:r>
      <w:r w:rsidR="00D121B1">
        <w:t>in het ka</w:t>
      </w:r>
      <w:r>
        <w:t>der van aangifte</w:t>
      </w:r>
      <w:r w:rsidR="00D121B1">
        <w:t>n</w:t>
      </w:r>
      <w:r>
        <w:t xml:space="preserve"> van nalatenschap</w:t>
      </w:r>
      <w:r w:rsidR="00D121B1">
        <w:t xml:space="preserve"> schattingen opmaken die voor de Vlaamse Belastingdienst </w:t>
      </w:r>
      <w:r w:rsidR="00DC3CB7">
        <w:t xml:space="preserve"> bindend</w:t>
      </w:r>
      <w:r w:rsidR="00D121B1">
        <w:t xml:space="preserve"> zijn. De schatters-experten hebben nu geen kwalitatieve bron van vergelijkingspunten. Hierdoor wordt de kwaliteit van hun schattingen aangetast, wat leidt tot een niet correcte belastin</w:t>
      </w:r>
      <w:r w:rsidR="00DC3CB7">
        <w:t>g</w:t>
      </w:r>
      <w:r w:rsidR="00D121B1">
        <w:t xml:space="preserve">heffing. </w:t>
      </w:r>
      <w:bookmarkStart w:id="0" w:name="_GoBack"/>
      <w:bookmarkEnd w:id="0"/>
    </w:p>
    <w:p w14:paraId="7AA57A3D" w14:textId="0AFD6975" w:rsidR="00FB6E3B" w:rsidRDefault="00FB6E3B" w:rsidP="009600EF">
      <w:pPr>
        <w:pStyle w:val="Kop1"/>
        <w:numPr>
          <w:ilvl w:val="0"/>
          <w:numId w:val="21"/>
        </w:numPr>
        <w:spacing w:after="0"/>
      </w:pPr>
      <w:r>
        <w:t>Raakvlakken</w:t>
      </w:r>
    </w:p>
    <w:p w14:paraId="394F7CF5" w14:textId="77777777" w:rsidR="00FB6E3B" w:rsidRDefault="00FB6E3B" w:rsidP="00FB6E3B">
      <w:r>
        <w:t>Met welke andere bestaande bronnen zijn er raakvlakken? Dit kunnen zowel erkende als niet-erkende bronnen zijn. Er wordt een onderscheid gemaakt tussen verschillende bestuursniveaus.</w:t>
      </w:r>
    </w:p>
    <w:p w14:paraId="09DE92E4" w14:textId="77777777" w:rsidR="009544DB" w:rsidRDefault="009544DB" w:rsidP="009600EF">
      <w:pPr>
        <w:pStyle w:val="Kop2"/>
        <w:numPr>
          <w:ilvl w:val="1"/>
          <w:numId w:val="21"/>
        </w:numPr>
        <w:spacing w:after="0"/>
      </w:pPr>
      <w:r>
        <w:t>Vlaams</w:t>
      </w:r>
    </w:p>
    <w:p w14:paraId="1676A224" w14:textId="72C88600" w:rsidR="00D121B1" w:rsidRDefault="00366DBE" w:rsidP="00FB00E4">
      <w:pPr>
        <w:pStyle w:val="Lijstalinea"/>
        <w:numPr>
          <w:ilvl w:val="0"/>
          <w:numId w:val="27"/>
        </w:numPr>
      </w:pPr>
      <w:r>
        <w:t>Gebouwenregister</w:t>
      </w:r>
    </w:p>
    <w:p w14:paraId="7AC79C61" w14:textId="7CC585E4" w:rsidR="00366DBE" w:rsidRPr="00622F14" w:rsidRDefault="00366DBE" w:rsidP="00366DBE">
      <w:pPr>
        <w:pStyle w:val="Lijstalinea"/>
        <w:numPr>
          <w:ilvl w:val="0"/>
          <w:numId w:val="27"/>
        </w:numPr>
      </w:pPr>
      <w:r>
        <w:t xml:space="preserve">Adressenregister </w:t>
      </w:r>
    </w:p>
    <w:p w14:paraId="5AD311EB" w14:textId="77777777" w:rsidR="009544DB" w:rsidRDefault="00FB6E3B" w:rsidP="009600EF">
      <w:pPr>
        <w:pStyle w:val="Kop2"/>
        <w:numPr>
          <w:ilvl w:val="1"/>
          <w:numId w:val="21"/>
        </w:numPr>
        <w:spacing w:after="0"/>
      </w:pPr>
      <w:r>
        <w:t>Federaal</w:t>
      </w:r>
    </w:p>
    <w:p w14:paraId="320AB96F" w14:textId="04B3024D" w:rsidR="00366DBE" w:rsidRDefault="00366DBE" w:rsidP="00366DBE">
      <w:pPr>
        <w:pStyle w:val="Lijstalinea"/>
        <w:numPr>
          <w:ilvl w:val="0"/>
          <w:numId w:val="27"/>
        </w:numPr>
      </w:pPr>
      <w:r>
        <w:t>Kadastrale legger</w:t>
      </w:r>
    </w:p>
    <w:p w14:paraId="13C7BA2F" w14:textId="35AA43F8" w:rsidR="002C08C3" w:rsidRDefault="002C08C3" w:rsidP="00366DBE">
      <w:pPr>
        <w:pStyle w:val="Lijstalinea"/>
        <w:numPr>
          <w:ilvl w:val="1"/>
          <w:numId w:val="27"/>
        </w:numPr>
      </w:pPr>
      <w:r>
        <w:t>kadastrale identificatie  (afdeling, sectie, grondnummer, exponentletter en -nummer, bisnummer,</w:t>
      </w:r>
      <w:r w:rsidR="00622F14">
        <w:t xml:space="preserve"> </w:t>
      </w:r>
      <w:r>
        <w:t>partitienummer) en detailidentificatie (bij gedwongen mede-eigendom)</w:t>
      </w:r>
    </w:p>
    <w:p w14:paraId="703E4F20" w14:textId="4BA9968C" w:rsidR="002C08C3" w:rsidRDefault="002C08C3" w:rsidP="00366DBE">
      <w:pPr>
        <w:pStyle w:val="Lijstalinea"/>
        <w:numPr>
          <w:ilvl w:val="1"/>
          <w:numId w:val="27"/>
        </w:numPr>
      </w:pPr>
      <w:r>
        <w:t>kadastrale  grondoppervlakte kadastrale aard</w:t>
      </w:r>
    </w:p>
    <w:p w14:paraId="216E655B" w14:textId="7C1DAA88" w:rsidR="002C08C3" w:rsidRDefault="002C08C3" w:rsidP="00366DBE">
      <w:pPr>
        <w:pStyle w:val="Lijstalinea"/>
        <w:numPr>
          <w:ilvl w:val="1"/>
          <w:numId w:val="27"/>
        </w:numPr>
      </w:pPr>
      <w:r>
        <w:t>bouwjaar en verbouwjaar</w:t>
      </w:r>
    </w:p>
    <w:p w14:paraId="2CDDD3F5" w14:textId="6D3FE11E" w:rsidR="002C08C3" w:rsidRDefault="00FB00E4" w:rsidP="00FB00E4">
      <w:pPr>
        <w:pStyle w:val="Lijstalinea"/>
        <w:numPr>
          <w:ilvl w:val="0"/>
          <w:numId w:val="27"/>
        </w:numPr>
      </w:pPr>
      <w:r>
        <w:t>K</w:t>
      </w:r>
      <w:r w:rsidR="002C08C3">
        <w:t>adastraal inkomen</w:t>
      </w:r>
    </w:p>
    <w:p w14:paraId="1A600AA5" w14:textId="77777777" w:rsidR="00FB00E4" w:rsidRDefault="00FB00E4" w:rsidP="002C08C3">
      <w:pPr>
        <w:pStyle w:val="Lijstalinea"/>
        <w:numPr>
          <w:ilvl w:val="0"/>
          <w:numId w:val="27"/>
        </w:numPr>
      </w:pPr>
      <w:r>
        <w:t>Verkoopprijzen (g</w:t>
      </w:r>
      <w:r w:rsidR="002C08C3">
        <w:t>e</w:t>
      </w:r>
      <w:r w:rsidR="00A11847">
        <w:t>ge</w:t>
      </w:r>
      <w:r w:rsidR="002C08C3">
        <w:t>vens van een authentieke akte</w:t>
      </w:r>
      <w:r>
        <w:t>)</w:t>
      </w:r>
    </w:p>
    <w:p w14:paraId="4BD9C239" w14:textId="77777777" w:rsidR="00FB00E4" w:rsidRDefault="002C08C3" w:rsidP="002C08C3">
      <w:pPr>
        <w:pStyle w:val="Lijstalinea"/>
        <w:numPr>
          <w:ilvl w:val="1"/>
          <w:numId w:val="27"/>
        </w:numPr>
      </w:pPr>
      <w:r>
        <w:t>grondoppervlakte volgens akte</w:t>
      </w:r>
    </w:p>
    <w:p w14:paraId="4587C9E2" w14:textId="77777777" w:rsidR="00FB00E4" w:rsidRDefault="002C08C3" w:rsidP="00965945">
      <w:pPr>
        <w:pStyle w:val="Lijstalinea"/>
        <w:numPr>
          <w:ilvl w:val="1"/>
          <w:numId w:val="27"/>
        </w:numPr>
      </w:pPr>
      <w:r>
        <w:t>aard volgens akte</w:t>
      </w:r>
    </w:p>
    <w:p w14:paraId="185CB29A" w14:textId="16DA76E8" w:rsidR="00FB00E4" w:rsidRDefault="002C08C3" w:rsidP="00FB00E4">
      <w:pPr>
        <w:pStyle w:val="Lijstalinea"/>
        <w:numPr>
          <w:ilvl w:val="1"/>
          <w:numId w:val="27"/>
        </w:numPr>
      </w:pPr>
      <w:r>
        <w:t>transactietype</w:t>
      </w:r>
    </w:p>
    <w:p w14:paraId="56104EDD" w14:textId="458D0352" w:rsidR="00FB00E4" w:rsidRDefault="00FB00E4" w:rsidP="00FB00E4">
      <w:pPr>
        <w:pStyle w:val="Lijstalinea"/>
        <w:numPr>
          <w:ilvl w:val="1"/>
          <w:numId w:val="27"/>
        </w:numPr>
      </w:pPr>
      <w:r>
        <w:t>datum en aard akte</w:t>
      </w:r>
    </w:p>
    <w:p w14:paraId="076D4E16" w14:textId="5C9DD199" w:rsidR="00FB00E4" w:rsidRDefault="00FB6E3B" w:rsidP="009600EF">
      <w:pPr>
        <w:pStyle w:val="Kop2"/>
        <w:numPr>
          <w:ilvl w:val="1"/>
          <w:numId w:val="21"/>
        </w:numPr>
      </w:pPr>
      <w:r>
        <w:lastRenderedPageBreak/>
        <w:t>Europees</w:t>
      </w:r>
    </w:p>
    <w:p w14:paraId="2D7EBC11" w14:textId="0AECE0EC" w:rsidR="00FB00E4" w:rsidRPr="00FB00E4" w:rsidRDefault="00FB00E4" w:rsidP="00FB00E4">
      <w:r>
        <w:t>Niet van toepassing</w:t>
      </w:r>
    </w:p>
    <w:p w14:paraId="5F89B44C" w14:textId="2806F90E" w:rsidR="00FB6E3B" w:rsidRDefault="00EA0F0D" w:rsidP="009600EF">
      <w:pPr>
        <w:pStyle w:val="Kop2"/>
        <w:numPr>
          <w:ilvl w:val="1"/>
          <w:numId w:val="21"/>
        </w:numPr>
        <w:spacing w:after="0"/>
      </w:pPr>
      <w:r>
        <w:t>andere internationale initiatieven</w:t>
      </w:r>
    </w:p>
    <w:p w14:paraId="2E8D46A8" w14:textId="46ADBD2B" w:rsidR="00FB00E4" w:rsidRPr="00FB00E4" w:rsidRDefault="00FB00E4" w:rsidP="00FB00E4">
      <w:r>
        <w:t>Niet van toepassing</w:t>
      </w:r>
    </w:p>
    <w:p w14:paraId="40D6AC3D" w14:textId="07E5BBE3" w:rsidR="00FB6E3B" w:rsidRDefault="00FB6E3B" w:rsidP="009600EF">
      <w:pPr>
        <w:pStyle w:val="Kop1"/>
        <w:numPr>
          <w:ilvl w:val="0"/>
          <w:numId w:val="21"/>
        </w:numPr>
        <w:spacing w:after="0"/>
      </w:pPr>
      <w:r>
        <w:t>Stakeholders</w:t>
      </w:r>
    </w:p>
    <w:p w14:paraId="79527560" w14:textId="77777777" w:rsidR="00FB00E4" w:rsidRDefault="002C08C3" w:rsidP="00FB6E3B">
      <w:pPr>
        <w:pStyle w:val="Lijstalinea"/>
        <w:numPr>
          <w:ilvl w:val="0"/>
          <w:numId w:val="28"/>
        </w:numPr>
      </w:pPr>
      <w:r>
        <w:t>Schatters-experten</w:t>
      </w:r>
      <w:r w:rsidR="00FB00E4">
        <w:t xml:space="preserve"> (samenwerking met </w:t>
      </w:r>
      <w:r>
        <w:t>Vlaamse Belasting</w:t>
      </w:r>
      <w:r w:rsidR="00FB00E4">
        <w:t xml:space="preserve">dienst </w:t>
      </w:r>
      <w:proofErr w:type="spellStart"/>
      <w:r w:rsidR="00FB00E4">
        <w:t>i.h.k.v</w:t>
      </w:r>
      <w:proofErr w:type="spellEnd"/>
      <w:r w:rsidR="00FB00E4">
        <w:t>. het kwaliteitscharter)</w:t>
      </w:r>
    </w:p>
    <w:p w14:paraId="777BEE22" w14:textId="77777777" w:rsidR="00FB00E4" w:rsidRDefault="009B1F02" w:rsidP="00FB6E3B">
      <w:pPr>
        <w:pStyle w:val="Lijstalinea"/>
        <w:numPr>
          <w:ilvl w:val="1"/>
          <w:numId w:val="28"/>
        </w:numPr>
      </w:pPr>
      <w:r>
        <w:t>Case: een door de Vlaamse Belastingdienst erkende schatter-expert vraagt vergelijkingspunten voor een bepaald onroerend goed bij de Vlaamse Belastingdienst.</w:t>
      </w:r>
    </w:p>
    <w:p w14:paraId="5F39D091" w14:textId="77777777" w:rsidR="00FB00E4" w:rsidRDefault="009B1F02" w:rsidP="00FB6E3B">
      <w:pPr>
        <w:pStyle w:val="Lijstalinea"/>
        <w:numPr>
          <w:ilvl w:val="1"/>
          <w:numId w:val="28"/>
        </w:numPr>
      </w:pPr>
      <w:r>
        <w:t>De belastingplichtige geeft de opdracht aan een schatter-expert om een onroerend goed van de nalatenschap te schatten.</w:t>
      </w:r>
    </w:p>
    <w:p w14:paraId="6D1904F8" w14:textId="77777777" w:rsidR="00FB00E4" w:rsidRDefault="009B1F02" w:rsidP="00FB6E3B">
      <w:pPr>
        <w:pStyle w:val="Lijstalinea"/>
        <w:numPr>
          <w:ilvl w:val="1"/>
          <w:numId w:val="28"/>
        </w:numPr>
      </w:pPr>
      <w:r>
        <w:t xml:space="preserve">De schatter-expert vraagt vergelijkingspunten aan de Vlaamse Belastingdienst en voegt bij: </w:t>
      </w:r>
    </w:p>
    <w:p w14:paraId="408C782D" w14:textId="77777777" w:rsidR="00FB00E4" w:rsidRDefault="009B1F02" w:rsidP="00C36565">
      <w:pPr>
        <w:pStyle w:val="Lijstalinea"/>
        <w:numPr>
          <w:ilvl w:val="2"/>
          <w:numId w:val="28"/>
        </w:numPr>
      </w:pPr>
      <w:r>
        <w:t>zijn erkenningsnummer bij de Vlaamse Belastingdienst</w:t>
      </w:r>
      <w:r w:rsidR="00DC3CB7">
        <w:t>;</w:t>
      </w:r>
    </w:p>
    <w:p w14:paraId="0DC3013F" w14:textId="77777777" w:rsidR="00FB00E4" w:rsidRDefault="009B1F02" w:rsidP="005F5955">
      <w:pPr>
        <w:pStyle w:val="Lijstalinea"/>
        <w:numPr>
          <w:ilvl w:val="2"/>
          <w:numId w:val="28"/>
        </w:numPr>
      </w:pPr>
      <w:r>
        <w:t>het dossiernummer van de aangifte</w:t>
      </w:r>
      <w:r w:rsidR="00D54EB7">
        <w:t xml:space="preserve"> en de naam van de erflater</w:t>
      </w:r>
      <w:r w:rsidR="00DC3CB7">
        <w:t>;</w:t>
      </w:r>
    </w:p>
    <w:p w14:paraId="295B4404" w14:textId="77777777" w:rsidR="00FB00E4" w:rsidRDefault="009B1F02" w:rsidP="00FB6E3B">
      <w:pPr>
        <w:pStyle w:val="Lijstalinea"/>
        <w:numPr>
          <w:ilvl w:val="2"/>
          <w:numId w:val="28"/>
        </w:numPr>
      </w:pPr>
      <w:r>
        <w:t>zijn aanstelling door de belastingplichtige</w:t>
      </w:r>
      <w:r w:rsidR="00DC3CB7">
        <w:t>;</w:t>
      </w:r>
    </w:p>
    <w:p w14:paraId="311B9A8F" w14:textId="77777777" w:rsidR="00FB00E4" w:rsidRDefault="009B1F02" w:rsidP="00FB6E3B">
      <w:pPr>
        <w:pStyle w:val="Lijstalinea"/>
        <w:numPr>
          <w:ilvl w:val="2"/>
          <w:numId w:val="28"/>
        </w:numPr>
      </w:pPr>
      <w:r>
        <w:t>identificatie</w:t>
      </w:r>
      <w:r w:rsidR="00D54EB7">
        <w:t xml:space="preserve"> en eigenschappen</w:t>
      </w:r>
      <w:r>
        <w:t xml:space="preserve"> van het onroerend goed</w:t>
      </w:r>
      <w:r w:rsidR="00DC3CB7">
        <w:t>.</w:t>
      </w:r>
    </w:p>
    <w:p w14:paraId="364B4270" w14:textId="77777777" w:rsidR="00FB00E4" w:rsidRDefault="00D54EB7" w:rsidP="00FB6E3B">
      <w:pPr>
        <w:pStyle w:val="Lijstalinea"/>
        <w:numPr>
          <w:ilvl w:val="1"/>
          <w:numId w:val="28"/>
        </w:numPr>
      </w:pPr>
      <w:r>
        <w:t>De Vlaamse Belastingdienst selecteert in zijn databank een li</w:t>
      </w:r>
      <w:r w:rsidR="00DC3CB7">
        <w:t>jst van vergelijkingspunten (+-25</w:t>
      </w:r>
      <w:r>
        <w:t>) en verzendt deze naar de schatter-expert.</w:t>
      </w:r>
    </w:p>
    <w:p w14:paraId="2396F255" w14:textId="77777777" w:rsidR="00FB00E4" w:rsidRDefault="00D54EB7" w:rsidP="00FB6E3B">
      <w:pPr>
        <w:pStyle w:val="Lijstalinea"/>
        <w:numPr>
          <w:ilvl w:val="1"/>
          <w:numId w:val="28"/>
        </w:numPr>
      </w:pPr>
      <w:r>
        <w:t>De schatter-expert onderzoekt de vergelijkingspunten en selecteert de meest gepaste. Hij onderbouwt hiermee zijn schatting. Zijn geselecteerde vergelijkingspunten worden opgenomen en besproken in het schattingsverslag.</w:t>
      </w:r>
    </w:p>
    <w:p w14:paraId="36ABF237" w14:textId="7765EA03" w:rsidR="00D54EB7" w:rsidRDefault="00D54EB7" w:rsidP="00FB6E3B">
      <w:pPr>
        <w:pStyle w:val="Lijstalinea"/>
        <w:numPr>
          <w:ilvl w:val="1"/>
          <w:numId w:val="28"/>
        </w:numPr>
      </w:pPr>
      <w:r>
        <w:t>Het schattingsverslag wordt door de bel</w:t>
      </w:r>
      <w:r w:rsidR="00DC3CB7">
        <w:t>a</w:t>
      </w:r>
      <w:r>
        <w:t>stingplichtige toegevoegd aan de aangifte en hiermee samen overgemaakt aan de Vlaamse Belastingdienst.</w:t>
      </w:r>
    </w:p>
    <w:p w14:paraId="1BCF761E" w14:textId="2C51BAD9" w:rsidR="00FB00E4" w:rsidRDefault="00FB00E4" w:rsidP="00FB00E4">
      <w:pPr>
        <w:pStyle w:val="Lijstalinea"/>
        <w:numPr>
          <w:ilvl w:val="0"/>
          <w:numId w:val="28"/>
        </w:numPr>
      </w:pPr>
      <w:r>
        <w:t>Vlaamse Landmaatschappij (VLM): de VLM heeft voor het uitvoeren van hun wettelijke opdrachten (o.a. het opmaken van meerwaarderamingsrapporten) nood aan vergelijkingspunten. Zij worden hiervoor door AAPD naar VLABEL doorverwezen.</w:t>
      </w:r>
    </w:p>
    <w:p w14:paraId="5679E4D5" w14:textId="228595B4" w:rsidR="00FB00E4" w:rsidRDefault="00FB00E4" w:rsidP="00FB00E4">
      <w:pPr>
        <w:pStyle w:val="Lijstalinea"/>
        <w:numPr>
          <w:ilvl w:val="0"/>
          <w:numId w:val="28"/>
        </w:numPr>
      </w:pPr>
      <w:r>
        <w:t>AAPD: er moeten de nodige afspraken gemaakt worden met AAPD over het beheren van de gegevens.</w:t>
      </w:r>
    </w:p>
    <w:p w14:paraId="79CCE28B" w14:textId="37C8D5ED" w:rsidR="009600EF" w:rsidRDefault="009600EF" w:rsidP="00FB00E4">
      <w:pPr>
        <w:pStyle w:val="Lijstalinea"/>
        <w:numPr>
          <w:ilvl w:val="0"/>
          <w:numId w:val="28"/>
        </w:numPr>
      </w:pPr>
      <w:r>
        <w:t xml:space="preserve">BBI: in het kader van het onderzoek naar mogelijke fraude wenst de BBI de verkoopprijzen te raadplegen. Zij hebben echter geen toegang tot </w:t>
      </w:r>
      <w:proofErr w:type="spellStart"/>
      <w:r>
        <w:t>Consultimmo</w:t>
      </w:r>
      <w:proofErr w:type="spellEnd"/>
      <w:r>
        <w:t>.</w:t>
      </w:r>
    </w:p>
    <w:p w14:paraId="2EC3AB75" w14:textId="77777777" w:rsidR="009600EF" w:rsidRDefault="009600EF" w:rsidP="009600EF">
      <w:pPr>
        <w:pStyle w:val="Lijstalinea"/>
      </w:pPr>
    </w:p>
    <w:p w14:paraId="23615A3B" w14:textId="77777777" w:rsidR="003B027B" w:rsidRDefault="003B027B" w:rsidP="00FB6E3B"/>
    <w:p w14:paraId="1C203D38" w14:textId="43E28443" w:rsidR="003B027B" w:rsidRDefault="00FB6E3B" w:rsidP="009600EF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mallCaps/>
          <w:color w:val="373636"/>
          <w:sz w:val="36"/>
          <w:szCs w:val="36"/>
        </w:rPr>
      </w:pPr>
      <w:r w:rsidRPr="009600EF">
        <w:rPr>
          <w:lang w:val="nl-BE"/>
        </w:rPr>
        <w:lastRenderedPageBreak/>
        <w:t xml:space="preserve"> </w:t>
      </w:r>
      <w:r w:rsidR="003B027B">
        <w:rPr>
          <w:rStyle w:val="normaltextrun"/>
          <w:rFonts w:ascii="Calibri" w:hAnsi="Calibri" w:cs="Calibri"/>
          <w:b/>
          <w:bCs/>
          <w:smallCaps/>
          <w:color w:val="373636"/>
          <w:sz w:val="36"/>
          <w:szCs w:val="36"/>
          <w:lang w:val="nl-BE"/>
        </w:rPr>
        <w:t>Thematische werkgroep</w:t>
      </w:r>
      <w:r w:rsidR="003B027B">
        <w:rPr>
          <w:rStyle w:val="eop"/>
          <w:rFonts w:ascii="Calibri" w:hAnsi="Calibri" w:cs="Calibri"/>
          <w:b/>
          <w:bCs/>
          <w:smallCaps/>
          <w:color w:val="373636"/>
          <w:sz w:val="36"/>
          <w:szCs w:val="36"/>
        </w:rPr>
        <w:t> </w:t>
      </w:r>
    </w:p>
    <w:p w14:paraId="63F8D0AF" w14:textId="77777777" w:rsidR="00FB00E4" w:rsidRPr="00FB00E4" w:rsidRDefault="00FB00E4" w:rsidP="00FB00E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mallCaps/>
          <w:color w:val="373636"/>
          <w:sz w:val="20"/>
          <w:szCs w:val="36"/>
        </w:rPr>
      </w:pPr>
    </w:p>
    <w:p w14:paraId="1BD9489D" w14:textId="35F6F850" w:rsidR="003B027B" w:rsidRDefault="003B027B" w:rsidP="009600EF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mallCaps/>
          <w:color w:val="373636"/>
          <w:sz w:val="32"/>
          <w:szCs w:val="32"/>
        </w:rPr>
      </w:pPr>
      <w:r>
        <w:rPr>
          <w:rStyle w:val="contextualspellingandgrammarerror"/>
          <w:rFonts w:ascii="Calibri" w:hAnsi="Calibri" w:cs="Calibri"/>
          <w:b/>
          <w:bCs/>
          <w:smallCaps/>
          <w:color w:val="373636"/>
          <w:sz w:val="32"/>
          <w:szCs w:val="32"/>
          <w:lang w:val="nl-BE"/>
        </w:rPr>
        <w:t>Samenstelling</w:t>
      </w:r>
      <w:r>
        <w:rPr>
          <w:rStyle w:val="eop"/>
          <w:rFonts w:ascii="Calibri" w:hAnsi="Calibri" w:cs="Calibri"/>
          <w:b/>
          <w:bCs/>
          <w:smallCaps/>
          <w:color w:val="373636"/>
          <w:sz w:val="32"/>
          <w:szCs w:val="32"/>
        </w:rPr>
        <w:t> </w:t>
      </w:r>
    </w:p>
    <w:p w14:paraId="43C8B9D3" w14:textId="77777777" w:rsidR="00FB00E4" w:rsidRPr="00FB00E4" w:rsidRDefault="00FB00E4" w:rsidP="003B027B">
      <w:pPr>
        <w:pStyle w:val="paragraph"/>
        <w:spacing w:before="0" w:beforeAutospacing="0" w:after="0" w:afterAutospacing="0"/>
        <w:ind w:left="360"/>
        <w:textAlignment w:val="baseline"/>
        <w:rPr>
          <w:rFonts w:ascii="&amp;quot" w:hAnsi="&amp;quot"/>
          <w:b/>
          <w:bCs/>
          <w:smallCaps/>
          <w:color w:val="373636"/>
          <w:sz w:val="20"/>
          <w:szCs w:val="18"/>
        </w:rPr>
      </w:pPr>
    </w:p>
    <w:p w14:paraId="79C37C82" w14:textId="5BAF44AA" w:rsidR="003B027B" w:rsidRDefault="003B027B" w:rsidP="003B02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nl-BE"/>
        </w:rPr>
        <w:t xml:space="preserve">De thematische werkgroep wordt in het leven geroepen door de werkgroep ‘authentieke gegevensbronnen’ om een bron te evalueren. De thematische werkgroep bestaat uit een verzameling afgevaardigden van afnemers en/of 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nl-BE"/>
        </w:rPr>
        <w:t>initiatoren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nl-BE"/>
        </w:rPr>
        <w:t xml:space="preserve"> met kennis van de noden en behoeften voor de bron, kan vertegenwoordigd worden door leden van de werkgroep ‘authentieke gegevensbronnen’ en wordt voorgezeten door de 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nl-BE"/>
        </w:rPr>
        <w:t>beheersinstantie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nl-BE"/>
        </w:rPr>
        <w:t xml:space="preserve"> van de gegevensbron.</w:t>
      </w:r>
      <w:r w:rsidRPr="009600EF">
        <w:rPr>
          <w:rStyle w:val="eop"/>
          <w:rFonts w:ascii="Calibri" w:hAnsi="Calibri" w:cs="Calibri"/>
          <w:color w:val="000000"/>
          <w:sz w:val="22"/>
          <w:szCs w:val="22"/>
          <w:lang w:val="nl-BE"/>
        </w:rPr>
        <w:t> </w:t>
      </w:r>
    </w:p>
    <w:p w14:paraId="6DEA1FDF" w14:textId="6428DDA1" w:rsidR="009600EF" w:rsidRDefault="009600EF" w:rsidP="003B02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nl-BE"/>
        </w:rPr>
      </w:pPr>
    </w:p>
    <w:p w14:paraId="6A2D3B2A" w14:textId="75EEEA99" w:rsidR="009600EF" w:rsidRDefault="009600EF" w:rsidP="003B02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nl-BE"/>
        </w:rPr>
        <w:t>VLABEL stelt voor om in de thematische werkgroep vertegenwoordigers te voorzien van volgende entiteiten:</w:t>
      </w:r>
    </w:p>
    <w:p w14:paraId="69AAF015" w14:textId="19AFD654" w:rsidR="009600EF" w:rsidRDefault="009600EF" w:rsidP="009600EF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nl-BE"/>
        </w:rPr>
        <w:t>VLABEL;</w:t>
      </w:r>
    </w:p>
    <w:p w14:paraId="403E5D21" w14:textId="3E621073" w:rsidR="009600EF" w:rsidRDefault="009600EF" w:rsidP="009600EF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nl-BE"/>
        </w:rPr>
        <w:t>VLM;</w:t>
      </w:r>
    </w:p>
    <w:p w14:paraId="044BA4A3" w14:textId="30295A09" w:rsidR="009600EF" w:rsidRDefault="009600EF" w:rsidP="009600EF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nl-BE"/>
        </w:rPr>
        <w:t>BBI;</w:t>
      </w:r>
    </w:p>
    <w:p w14:paraId="3BF7380A" w14:textId="15D25ED6" w:rsidR="009600EF" w:rsidRDefault="009600EF" w:rsidP="009600EF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nl-BE"/>
        </w:rPr>
        <w:t>AAPD.</w:t>
      </w:r>
    </w:p>
    <w:p w14:paraId="76716DA8" w14:textId="77777777" w:rsidR="009600EF" w:rsidRPr="009600EF" w:rsidRDefault="009600EF" w:rsidP="003B027B">
      <w:pPr>
        <w:pStyle w:val="paragraph"/>
        <w:spacing w:before="0" w:beforeAutospacing="0" w:after="0" w:afterAutospacing="0"/>
        <w:jc w:val="both"/>
        <w:textAlignment w:val="baseline"/>
        <w:rPr>
          <w:rFonts w:ascii="&amp;quot" w:hAnsi="&amp;quot"/>
          <w:color w:val="000000"/>
          <w:sz w:val="18"/>
          <w:szCs w:val="18"/>
          <w:lang w:val="nl-BE"/>
        </w:rPr>
      </w:pPr>
    </w:p>
    <w:p w14:paraId="5B8C8062" w14:textId="08B55F77" w:rsidR="003B027B" w:rsidRPr="009600EF" w:rsidRDefault="009600EF" w:rsidP="009600EF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Style w:val="contextualspellingandgrammarerror"/>
          <w:rFonts w:ascii="Calibri" w:hAnsi="Calibri" w:cs="Calibri"/>
          <w:sz w:val="32"/>
          <w:szCs w:val="32"/>
        </w:rPr>
      </w:pPr>
      <w:r>
        <w:rPr>
          <w:rStyle w:val="contextualspellingandgrammarerror"/>
          <w:rFonts w:ascii="Calibri" w:hAnsi="Calibri" w:cs="Calibri"/>
          <w:b/>
          <w:bCs/>
          <w:smallCaps/>
          <w:color w:val="373636"/>
          <w:sz w:val="32"/>
          <w:szCs w:val="32"/>
          <w:lang w:val="nl-BE"/>
        </w:rPr>
        <w:t>W</w:t>
      </w:r>
      <w:r w:rsidR="003B027B">
        <w:rPr>
          <w:rStyle w:val="contextualspellingandgrammarerror"/>
          <w:rFonts w:ascii="Calibri" w:hAnsi="Calibri" w:cs="Calibri"/>
          <w:b/>
          <w:bCs/>
          <w:smallCaps/>
          <w:color w:val="373636"/>
          <w:sz w:val="32"/>
          <w:szCs w:val="32"/>
          <w:lang w:val="nl-BE"/>
        </w:rPr>
        <w:t>erking</w:t>
      </w:r>
      <w:r w:rsidR="003B027B" w:rsidRPr="009600EF">
        <w:rPr>
          <w:rStyle w:val="contextualspellingandgrammarerror"/>
        </w:rPr>
        <w:t> </w:t>
      </w:r>
    </w:p>
    <w:p w14:paraId="2728AC44" w14:textId="77777777" w:rsidR="00256F13" w:rsidRDefault="00256F13" w:rsidP="003B02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nl-BE"/>
        </w:rPr>
      </w:pPr>
    </w:p>
    <w:p w14:paraId="382624DD" w14:textId="4FDFE2B9" w:rsidR="003B027B" w:rsidRDefault="00256F13" w:rsidP="003B02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nl-BE"/>
        </w:rPr>
        <w:t>De a</w:t>
      </w:r>
      <w:r w:rsidR="003B027B">
        <w:rPr>
          <w:rStyle w:val="normaltextrun"/>
          <w:rFonts w:ascii="Calibri" w:hAnsi="Calibri" w:cs="Calibri"/>
          <w:color w:val="000000"/>
          <w:sz w:val="22"/>
          <w:szCs w:val="22"/>
          <w:lang w:val="nl-BE"/>
        </w:rPr>
        <w:t xml:space="preserve">fspraken omtrent frequentie van vergaderingen, reviewtijden van documenten, het organiseren van publieke </w:t>
      </w:r>
      <w:r w:rsidR="003B027B">
        <w:rPr>
          <w:rStyle w:val="contextualspellingandgrammarerror"/>
          <w:rFonts w:ascii="Calibri" w:hAnsi="Calibri" w:cs="Calibri"/>
          <w:color w:val="000000"/>
          <w:sz w:val="22"/>
          <w:szCs w:val="22"/>
          <w:lang w:val="nl-BE"/>
        </w:rPr>
        <w:t>reviews,…</w:t>
      </w:r>
      <w:r w:rsidR="003B027B" w:rsidRPr="009600EF">
        <w:rPr>
          <w:rStyle w:val="eop"/>
          <w:rFonts w:ascii="Calibri" w:hAnsi="Calibri" w:cs="Calibri"/>
          <w:color w:val="000000"/>
          <w:sz w:val="22"/>
          <w:szCs w:val="22"/>
          <w:lang w:val="nl-BE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lang w:val="nl-BE"/>
        </w:rPr>
        <w:t>zullen worden afgestemd met de leden van de thematische werkgroep.</w:t>
      </w:r>
    </w:p>
    <w:p w14:paraId="1379AC31" w14:textId="2341569D" w:rsidR="009600EF" w:rsidRDefault="009600EF" w:rsidP="003B02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nl-BE"/>
        </w:rPr>
      </w:pPr>
    </w:p>
    <w:p w14:paraId="1CA47D16" w14:textId="77777777" w:rsidR="009600EF" w:rsidRPr="009600EF" w:rsidRDefault="009600EF" w:rsidP="003B027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nl-BE"/>
        </w:rPr>
      </w:pPr>
    </w:p>
    <w:p w14:paraId="2A611664" w14:textId="17099777" w:rsidR="003B027B" w:rsidRDefault="003B027B" w:rsidP="009600EF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lang w:val="nl-BE"/>
        </w:rPr>
      </w:pPr>
      <w:r>
        <w:rPr>
          <w:rStyle w:val="normaltextrun"/>
          <w:rFonts w:ascii="Calibri" w:hAnsi="Calibri" w:cs="Calibri"/>
          <w:b/>
          <w:bCs/>
          <w:smallCaps/>
          <w:color w:val="373636"/>
          <w:sz w:val="36"/>
          <w:szCs w:val="36"/>
          <w:lang w:val="nl-BE"/>
        </w:rPr>
        <w:t>Timing</w:t>
      </w:r>
      <w:r w:rsidRPr="009600EF">
        <w:rPr>
          <w:rStyle w:val="normaltextrun"/>
          <w:lang w:val="nl-BE"/>
        </w:rPr>
        <w:t> </w:t>
      </w:r>
    </w:p>
    <w:p w14:paraId="66045B63" w14:textId="77777777" w:rsidR="009600EF" w:rsidRPr="009600EF" w:rsidRDefault="009600EF" w:rsidP="009600E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lang w:val="nl-BE"/>
        </w:rPr>
      </w:pPr>
    </w:p>
    <w:p w14:paraId="69A4C794" w14:textId="77777777" w:rsidR="003B027B" w:rsidRPr="009600EF" w:rsidRDefault="003B027B" w:rsidP="003B027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nl-BE"/>
        </w:rPr>
        <w:t>De vooropgestelde tijdsplanning wordt in dit deel opgenomen, wanneer wil men rond zijn met de procedure? Hoe vertaalt zich dit tot een concrete planning? (</w:t>
      </w:r>
      <w:r>
        <w:rPr>
          <w:rStyle w:val="contextualspellingandgrammarerror"/>
          <w:rFonts w:ascii="Calibri" w:hAnsi="Calibri" w:cs="Calibri"/>
          <w:color w:val="000000"/>
          <w:sz w:val="22"/>
          <w:szCs w:val="22"/>
          <w:lang w:val="nl-BE"/>
        </w:rPr>
        <w:t>meetings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nl-BE"/>
        </w:rPr>
        <w:t>, reviews,…)</w:t>
      </w:r>
      <w:r w:rsidRPr="009600EF">
        <w:rPr>
          <w:rStyle w:val="eop"/>
          <w:rFonts w:ascii="Calibri" w:hAnsi="Calibri" w:cs="Calibri"/>
          <w:color w:val="000000"/>
          <w:sz w:val="22"/>
          <w:szCs w:val="22"/>
          <w:lang w:val="nl-BE"/>
        </w:rPr>
        <w:t> </w:t>
      </w:r>
    </w:p>
    <w:p w14:paraId="270946FC" w14:textId="1FF6667E" w:rsidR="005811B2" w:rsidRDefault="005811B2" w:rsidP="00EA0F0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56F13" w14:paraId="74401793" w14:textId="77777777" w:rsidTr="00256F13">
        <w:tc>
          <w:tcPr>
            <w:tcW w:w="3303" w:type="dxa"/>
            <w:vMerge w:val="restart"/>
            <w:vAlign w:val="center"/>
          </w:tcPr>
          <w:p w14:paraId="4108C619" w14:textId="72C56DE1" w:rsidR="00256F13" w:rsidRDefault="00256F13" w:rsidP="00256F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Aanmelden gegevensbron</w:t>
            </w:r>
          </w:p>
        </w:tc>
        <w:tc>
          <w:tcPr>
            <w:tcW w:w="3304" w:type="dxa"/>
          </w:tcPr>
          <w:p w14:paraId="08A48A12" w14:textId="19515ACC" w:rsidR="00256F13" w:rsidRDefault="00256F13" w:rsidP="00256F13">
            <w:pPr>
              <w:pStyle w:val="Lijstalinea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Opstellen intentieverklaring</w:t>
            </w:r>
          </w:p>
        </w:tc>
        <w:tc>
          <w:tcPr>
            <w:tcW w:w="3304" w:type="dxa"/>
          </w:tcPr>
          <w:p w14:paraId="2B5197FA" w14:textId="7311DA2E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14/05/2019</w:t>
            </w:r>
          </w:p>
        </w:tc>
      </w:tr>
      <w:tr w:rsidR="00256F13" w14:paraId="68144FB5" w14:textId="77777777" w:rsidTr="00256F13">
        <w:tc>
          <w:tcPr>
            <w:tcW w:w="3303" w:type="dxa"/>
            <w:vMerge/>
          </w:tcPr>
          <w:p w14:paraId="59D566B9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6AD2BF04" w14:textId="70A2E1CE" w:rsidR="00256F13" w:rsidRDefault="00256F13" w:rsidP="00256F13">
            <w:pPr>
              <w:pStyle w:val="Lijstalinea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Opstellen </w:t>
            </w:r>
            <w:proofErr w:type="spellStart"/>
            <w:r>
              <w:t>werkgroepcharter</w:t>
            </w:r>
            <w:proofErr w:type="spellEnd"/>
          </w:p>
        </w:tc>
        <w:tc>
          <w:tcPr>
            <w:tcW w:w="3304" w:type="dxa"/>
          </w:tcPr>
          <w:p w14:paraId="31F6E74D" w14:textId="7697F042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14/05/2019</w:t>
            </w:r>
          </w:p>
        </w:tc>
      </w:tr>
      <w:tr w:rsidR="00256F13" w14:paraId="562B4ECF" w14:textId="77777777" w:rsidTr="00256F13">
        <w:tc>
          <w:tcPr>
            <w:tcW w:w="3303" w:type="dxa"/>
            <w:vMerge/>
          </w:tcPr>
          <w:p w14:paraId="6E42D1AE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1472F4E1" w14:textId="5685FA2C" w:rsidR="00256F13" w:rsidRDefault="00256F13" w:rsidP="00256F13">
            <w:pPr>
              <w:pStyle w:val="Lijstalinea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Opstellen zelfevaluatie</w:t>
            </w:r>
          </w:p>
        </w:tc>
        <w:tc>
          <w:tcPr>
            <w:tcW w:w="3304" w:type="dxa"/>
          </w:tcPr>
          <w:p w14:paraId="1929082C" w14:textId="4DE47128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17/05/2019</w:t>
            </w:r>
          </w:p>
        </w:tc>
      </w:tr>
      <w:tr w:rsidR="00256F13" w14:paraId="0860DDB9" w14:textId="77777777" w:rsidTr="00256F13">
        <w:tc>
          <w:tcPr>
            <w:tcW w:w="3303" w:type="dxa"/>
            <w:vMerge/>
          </w:tcPr>
          <w:p w14:paraId="567B3856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502D0C9D" w14:textId="36B4148E" w:rsidR="00256F13" w:rsidRDefault="00256F13" w:rsidP="00256F13">
            <w:pPr>
              <w:pStyle w:val="Lijstalinea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Presentatie werkgroep</w:t>
            </w:r>
          </w:p>
        </w:tc>
        <w:tc>
          <w:tcPr>
            <w:tcW w:w="3304" w:type="dxa"/>
          </w:tcPr>
          <w:p w14:paraId="6B49C6EA" w14:textId="3BFCFBB0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Juni 2019</w:t>
            </w:r>
          </w:p>
        </w:tc>
      </w:tr>
      <w:tr w:rsidR="00256F13" w14:paraId="7D1B55EA" w14:textId="77777777" w:rsidTr="00256F13">
        <w:tc>
          <w:tcPr>
            <w:tcW w:w="3303" w:type="dxa"/>
            <w:vMerge/>
          </w:tcPr>
          <w:p w14:paraId="0726A61A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70BEE725" w14:textId="210D8159" w:rsidR="00256F13" w:rsidRDefault="00256F13" w:rsidP="00256F13">
            <w:pPr>
              <w:pStyle w:val="Lijstalinea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Beslissing verdere procedure</w:t>
            </w:r>
          </w:p>
        </w:tc>
        <w:tc>
          <w:tcPr>
            <w:tcW w:w="3304" w:type="dxa"/>
          </w:tcPr>
          <w:p w14:paraId="66B65D04" w14:textId="5202979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Juni 2019</w:t>
            </w:r>
          </w:p>
        </w:tc>
      </w:tr>
      <w:tr w:rsidR="00256F13" w14:paraId="4A926D46" w14:textId="77777777" w:rsidTr="00256F13">
        <w:tc>
          <w:tcPr>
            <w:tcW w:w="3303" w:type="dxa"/>
            <w:vMerge w:val="restart"/>
            <w:vAlign w:val="center"/>
          </w:tcPr>
          <w:p w14:paraId="1CBBEEB1" w14:textId="2089C2D4" w:rsidR="00256F13" w:rsidRDefault="00256F13" w:rsidP="00256F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Erkennen authentieke bron</w:t>
            </w:r>
          </w:p>
        </w:tc>
        <w:tc>
          <w:tcPr>
            <w:tcW w:w="3304" w:type="dxa"/>
          </w:tcPr>
          <w:p w14:paraId="70C0B95D" w14:textId="29621E6B" w:rsidR="00256F13" w:rsidRDefault="00256F13" w:rsidP="00256F13">
            <w:pPr>
              <w:pStyle w:val="Lijstalinea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Evaluatie</w:t>
            </w:r>
          </w:p>
        </w:tc>
        <w:tc>
          <w:tcPr>
            <w:tcW w:w="3304" w:type="dxa"/>
          </w:tcPr>
          <w:p w14:paraId="2C94266A" w14:textId="6200B7D6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Juli 2019</w:t>
            </w:r>
          </w:p>
        </w:tc>
      </w:tr>
      <w:tr w:rsidR="00256F13" w14:paraId="3B7D850F" w14:textId="77777777" w:rsidTr="00256F13">
        <w:tc>
          <w:tcPr>
            <w:tcW w:w="3303" w:type="dxa"/>
            <w:vMerge/>
          </w:tcPr>
          <w:p w14:paraId="6E76FC2E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65B5642C" w14:textId="4F479070" w:rsidR="00256F13" w:rsidRDefault="00256F13" w:rsidP="00256F13">
            <w:pPr>
              <w:pStyle w:val="Lijstalinea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Publieke review</w:t>
            </w:r>
          </w:p>
        </w:tc>
        <w:tc>
          <w:tcPr>
            <w:tcW w:w="3304" w:type="dxa"/>
            <w:vMerge w:val="restart"/>
            <w:vAlign w:val="center"/>
          </w:tcPr>
          <w:p w14:paraId="7AD0E8BD" w14:textId="45FE6E7C" w:rsidR="00256F13" w:rsidRDefault="00256F13" w:rsidP="00256F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Juli/augustus 2019</w:t>
            </w:r>
          </w:p>
        </w:tc>
      </w:tr>
      <w:tr w:rsidR="00256F13" w14:paraId="3479D7BF" w14:textId="77777777" w:rsidTr="00256F13">
        <w:tc>
          <w:tcPr>
            <w:tcW w:w="3303" w:type="dxa"/>
            <w:vMerge/>
          </w:tcPr>
          <w:p w14:paraId="59666797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48A0EF36" w14:textId="56318D59" w:rsidR="00256F13" w:rsidRDefault="00256F13" w:rsidP="00256F13">
            <w:pPr>
              <w:pStyle w:val="Lijstalinea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Evaluatie webcast</w:t>
            </w:r>
          </w:p>
        </w:tc>
        <w:tc>
          <w:tcPr>
            <w:tcW w:w="3304" w:type="dxa"/>
            <w:vMerge/>
          </w:tcPr>
          <w:p w14:paraId="6105BEE9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56F13" w14:paraId="3D89E961" w14:textId="77777777" w:rsidTr="00256F13">
        <w:tc>
          <w:tcPr>
            <w:tcW w:w="3303" w:type="dxa"/>
            <w:vMerge/>
          </w:tcPr>
          <w:p w14:paraId="6539FAB8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7C5458C1" w14:textId="52A935A2" w:rsidR="00256F13" w:rsidRDefault="00256F13" w:rsidP="00256F13">
            <w:pPr>
              <w:pStyle w:val="Lijstalinea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Advies verlenen</w:t>
            </w:r>
          </w:p>
        </w:tc>
        <w:tc>
          <w:tcPr>
            <w:tcW w:w="3304" w:type="dxa"/>
            <w:vMerge w:val="restart"/>
            <w:vAlign w:val="center"/>
          </w:tcPr>
          <w:p w14:paraId="4ADDE43E" w14:textId="21A62FE7" w:rsidR="00256F13" w:rsidRDefault="00256F13" w:rsidP="00256F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Augustus/september 2019</w:t>
            </w:r>
          </w:p>
        </w:tc>
      </w:tr>
      <w:tr w:rsidR="00256F13" w14:paraId="25601BC6" w14:textId="77777777" w:rsidTr="00256F13">
        <w:tc>
          <w:tcPr>
            <w:tcW w:w="3303" w:type="dxa"/>
            <w:vMerge/>
          </w:tcPr>
          <w:p w14:paraId="6ECAF352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7AE57CC2" w14:textId="64AC37B2" w:rsidR="00256F13" w:rsidRDefault="00256F13" w:rsidP="00256F13">
            <w:pPr>
              <w:pStyle w:val="Lijstalinea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Valideren gegevensbron</w:t>
            </w:r>
          </w:p>
        </w:tc>
        <w:tc>
          <w:tcPr>
            <w:tcW w:w="3304" w:type="dxa"/>
            <w:vMerge/>
          </w:tcPr>
          <w:p w14:paraId="50F014F0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56F13" w14:paraId="6D29E17E" w14:textId="77777777" w:rsidTr="00256F13">
        <w:tc>
          <w:tcPr>
            <w:tcW w:w="3303" w:type="dxa"/>
            <w:vMerge/>
          </w:tcPr>
          <w:p w14:paraId="73163393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35C57488" w14:textId="0013F747" w:rsidR="00256F13" w:rsidRDefault="00256F13" w:rsidP="00256F13">
            <w:pPr>
              <w:pStyle w:val="Lijstalinea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Aanpassingen aanbrengen</w:t>
            </w:r>
          </w:p>
        </w:tc>
        <w:tc>
          <w:tcPr>
            <w:tcW w:w="3304" w:type="dxa"/>
            <w:vMerge/>
          </w:tcPr>
          <w:p w14:paraId="73144F0F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56F13" w14:paraId="04DE5328" w14:textId="77777777" w:rsidTr="00256F13">
        <w:tc>
          <w:tcPr>
            <w:tcW w:w="3303" w:type="dxa"/>
            <w:vMerge/>
          </w:tcPr>
          <w:p w14:paraId="4C1C1D56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6D9E549D" w14:textId="33612744" w:rsidR="00256F13" w:rsidRDefault="00256F13" w:rsidP="00256F13">
            <w:pPr>
              <w:pStyle w:val="Lijstalinea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Erkenning gegevensbron</w:t>
            </w:r>
          </w:p>
        </w:tc>
        <w:tc>
          <w:tcPr>
            <w:tcW w:w="3304" w:type="dxa"/>
          </w:tcPr>
          <w:p w14:paraId="6E210C36" w14:textId="097537FB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01/10/2019</w:t>
            </w:r>
          </w:p>
        </w:tc>
      </w:tr>
      <w:tr w:rsidR="00256F13" w14:paraId="6727DE76" w14:textId="77777777" w:rsidTr="00256F13">
        <w:tc>
          <w:tcPr>
            <w:tcW w:w="3303" w:type="dxa"/>
          </w:tcPr>
          <w:p w14:paraId="6028C96C" w14:textId="7B55A4B8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Veranderingsbeheer</w:t>
            </w:r>
          </w:p>
        </w:tc>
        <w:tc>
          <w:tcPr>
            <w:tcW w:w="3304" w:type="dxa"/>
          </w:tcPr>
          <w:p w14:paraId="17C40E4D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04" w:type="dxa"/>
          </w:tcPr>
          <w:p w14:paraId="5765602F" w14:textId="77777777" w:rsidR="00256F13" w:rsidRDefault="00256F13" w:rsidP="00EA0F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4AC6AC77" w14:textId="77777777" w:rsidR="00256F13" w:rsidRDefault="00256F13" w:rsidP="00EA0F0D"/>
    <w:sectPr w:rsidR="00256F13">
      <w:type w:val="continuous"/>
      <w:pgSz w:w="11906" w:h="16838"/>
      <w:pgMar w:top="2211" w:right="851" w:bottom="2552" w:left="1134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4E388" w14:textId="77777777" w:rsidR="008B2D32" w:rsidRDefault="008B2D32">
      <w:pPr>
        <w:spacing w:before="0" w:after="0" w:line="240" w:lineRule="auto"/>
      </w:pPr>
      <w:r>
        <w:separator/>
      </w:r>
    </w:p>
  </w:endnote>
  <w:endnote w:type="continuationSeparator" w:id="0">
    <w:p w14:paraId="50A84394" w14:textId="77777777" w:rsidR="008B2D32" w:rsidRDefault="008B2D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3" w14:textId="77777777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27094704" w14:textId="77777777" w:rsidR="005811B2" w:rsidRDefault="005811B2">
    <w:pPr>
      <w:tabs>
        <w:tab w:val="right" w:pos="9923"/>
      </w:tabs>
      <w:spacing w:line="240" w:lineRule="auto"/>
      <w:rPr>
        <w:color w:val="373636"/>
        <w:sz w:val="16"/>
        <w:szCs w:val="16"/>
      </w:rPr>
    </w:pPr>
  </w:p>
  <w:p w14:paraId="27094705" w14:textId="3AD575FD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</w:rPr>
      <w:fldChar w:fldCharType="separate"/>
    </w:r>
    <w:r w:rsidR="00256F13">
      <w:rPr>
        <w:noProof/>
        <w:color w:val="373636"/>
        <w:sz w:val="16"/>
        <w:szCs w:val="16"/>
      </w:rPr>
      <w:t>2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</w:rPr>
      <w:fldChar w:fldCharType="separate"/>
    </w:r>
    <w:r w:rsidR="00256F13">
      <w:rPr>
        <w:noProof/>
        <w:color w:val="373636"/>
        <w:sz w:val="16"/>
        <w:szCs w:val="16"/>
      </w:rPr>
      <w:t>4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ab/>
      <w:t xml:space="preserve">28.09.17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stuurorgaan Vlaams informatie- en ICT-beleid – voorstel standaardenbeleid</w:t>
    </w:r>
  </w:p>
  <w:p w14:paraId="27094706" w14:textId="77777777" w:rsidR="005811B2" w:rsidRDefault="005811B2">
    <w:pPr>
      <w:tabs>
        <w:tab w:val="right" w:pos="9923"/>
      </w:tabs>
      <w:spacing w:after="911" w:line="240" w:lineRule="auto"/>
      <w:rPr>
        <w:color w:val="373636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7" w14:textId="77777777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27094708" w14:textId="77777777" w:rsidR="005811B2" w:rsidRDefault="005811B2">
    <w:pPr>
      <w:tabs>
        <w:tab w:val="right" w:pos="9923"/>
      </w:tabs>
      <w:spacing w:line="240" w:lineRule="auto"/>
      <w:rPr>
        <w:color w:val="373636"/>
        <w:sz w:val="16"/>
        <w:szCs w:val="16"/>
      </w:rPr>
    </w:pPr>
  </w:p>
  <w:p w14:paraId="27094709" w14:textId="544F5B1F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 xml:space="preserve">stuurorgaan Vlaams informatie- en ICT-beleid – voorstel standaardenbeleid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28.09.17</w:t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</w:rPr>
      <w:fldChar w:fldCharType="separate"/>
    </w:r>
    <w:r w:rsidR="00256F13">
      <w:rPr>
        <w:noProof/>
        <w:color w:val="373636"/>
        <w:sz w:val="16"/>
        <w:szCs w:val="16"/>
      </w:rPr>
      <w:t>3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</w:rPr>
      <w:fldChar w:fldCharType="separate"/>
    </w:r>
    <w:r w:rsidR="00256F13">
      <w:rPr>
        <w:noProof/>
        <w:color w:val="373636"/>
        <w:sz w:val="16"/>
        <w:szCs w:val="16"/>
      </w:rPr>
      <w:t>4</w:t>
    </w:r>
    <w:r>
      <w:rPr>
        <w:color w:val="373636"/>
        <w:sz w:val="16"/>
        <w:szCs w:val="16"/>
      </w:rPr>
      <w:fldChar w:fldCharType="end"/>
    </w:r>
  </w:p>
  <w:p w14:paraId="2709470A" w14:textId="77777777" w:rsidR="005811B2" w:rsidRDefault="005811B2">
    <w:pPr>
      <w:tabs>
        <w:tab w:val="right" w:pos="9923"/>
      </w:tabs>
      <w:spacing w:after="911" w:line="240" w:lineRule="auto"/>
      <w:rPr>
        <w:color w:val="373636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C" w14:textId="77777777" w:rsidR="005811B2" w:rsidRDefault="00D069BB">
    <w:pPr>
      <w:tabs>
        <w:tab w:val="right" w:pos="9923"/>
      </w:tabs>
      <w:spacing w:after="911"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ab/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66D62" w14:textId="77777777" w:rsidR="008B2D32" w:rsidRDefault="008B2D32">
      <w:pPr>
        <w:spacing w:before="0" w:after="0" w:line="240" w:lineRule="auto"/>
      </w:pPr>
      <w:r>
        <w:separator/>
      </w:r>
    </w:p>
  </w:footnote>
  <w:footnote w:type="continuationSeparator" w:id="0">
    <w:p w14:paraId="352A1FC9" w14:textId="77777777" w:rsidR="008B2D32" w:rsidRDefault="008B2D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1" w14:textId="77777777" w:rsidR="005811B2" w:rsidRDefault="00D069BB">
    <w:pPr>
      <w:tabs>
        <w:tab w:val="right" w:pos="9923"/>
      </w:tabs>
      <w:spacing w:before="911"/>
      <w:rPr>
        <w:color w:val="373636"/>
        <w:sz w:val="32"/>
        <w:szCs w:val="32"/>
      </w:rPr>
    </w:pP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 </w:t>
    </w:r>
    <w:r>
      <w:rPr>
        <w:b/>
        <w:color w:val="FFF200"/>
        <w:sz w:val="32"/>
        <w:szCs w:val="32"/>
      </w:rPr>
      <w:t>///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2" w14:textId="77777777" w:rsidR="005811B2" w:rsidRDefault="00D069BB">
    <w:pPr>
      <w:tabs>
        <w:tab w:val="right" w:pos="9923"/>
      </w:tabs>
      <w:spacing w:before="911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  <w:t xml:space="preserve"> </w:t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B" w14:textId="6E3342BB" w:rsidR="005811B2" w:rsidRDefault="00D069BB">
    <w:pPr>
      <w:tabs>
        <w:tab w:val="right" w:pos="9923"/>
      </w:tabs>
      <w:spacing w:before="911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09470D" wp14:editId="2709470E">
          <wp:simplePos x="0" y="0"/>
          <wp:positionH relativeFrom="margin">
            <wp:posOffset>4529</wp:posOffset>
          </wp:positionH>
          <wp:positionV relativeFrom="paragraph">
            <wp:posOffset>544706</wp:posOffset>
          </wp:positionV>
          <wp:extent cx="3213473" cy="658399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3473" cy="658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B6E3B">
      <w:rPr>
        <w:color w:val="373636"/>
        <w:sz w:val="32"/>
        <w:szCs w:val="32"/>
      </w:rPr>
      <w:t>intentieverklaring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F57"/>
    <w:multiLevelType w:val="hybridMultilevel"/>
    <w:tmpl w:val="5E149568"/>
    <w:lvl w:ilvl="0" w:tplc="6ED08CA6">
      <w:start w:val="1"/>
      <w:numFmt w:val="decimal"/>
      <w:pStyle w:val="Kop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363F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184121"/>
    <w:multiLevelType w:val="hybridMultilevel"/>
    <w:tmpl w:val="87A4FF2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3CE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72675"/>
    <w:multiLevelType w:val="hybridMultilevel"/>
    <w:tmpl w:val="9976E64C"/>
    <w:lvl w:ilvl="0" w:tplc="417A5C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D73C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A474C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F47986"/>
    <w:multiLevelType w:val="multilevel"/>
    <w:tmpl w:val="A65A5A90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47E2A8A"/>
    <w:multiLevelType w:val="multilevel"/>
    <w:tmpl w:val="3148E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6A523B"/>
    <w:multiLevelType w:val="multilevel"/>
    <w:tmpl w:val="27ECE0DA"/>
    <w:lvl w:ilvl="0">
      <w:start w:val="1"/>
      <w:numFmt w:val="decimal"/>
      <w:lvlText w:val="%1.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266B33"/>
    <w:multiLevelType w:val="multilevel"/>
    <w:tmpl w:val="825EE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2310E"/>
    <w:multiLevelType w:val="multilevel"/>
    <w:tmpl w:val="2778832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EE6095"/>
    <w:multiLevelType w:val="hybridMultilevel"/>
    <w:tmpl w:val="5ECE82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F6D11"/>
    <w:multiLevelType w:val="hybridMultilevel"/>
    <w:tmpl w:val="06BE186A"/>
    <w:lvl w:ilvl="0" w:tplc="1C0089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A3802"/>
    <w:multiLevelType w:val="hybridMultilevel"/>
    <w:tmpl w:val="D190163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7B4E42"/>
    <w:multiLevelType w:val="hybridMultilevel"/>
    <w:tmpl w:val="B6F8FAE6"/>
    <w:lvl w:ilvl="0" w:tplc="9CDC2A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959AD"/>
    <w:multiLevelType w:val="multilevel"/>
    <w:tmpl w:val="299E1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E42260B"/>
    <w:multiLevelType w:val="hybridMultilevel"/>
    <w:tmpl w:val="71648C44"/>
    <w:lvl w:ilvl="0" w:tplc="15607EBC">
      <w:start w:val="1"/>
      <w:numFmt w:val="decimal"/>
      <w:pStyle w:val="Kop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E5E0A"/>
    <w:multiLevelType w:val="hybridMultilevel"/>
    <w:tmpl w:val="E5E872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A119C"/>
    <w:multiLevelType w:val="hybridMultilevel"/>
    <w:tmpl w:val="4050AE2A"/>
    <w:lvl w:ilvl="0" w:tplc="0813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8E4F1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5F5E7A"/>
    <w:multiLevelType w:val="multilevel"/>
    <w:tmpl w:val="60120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C290BC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225439"/>
    <w:multiLevelType w:val="hybridMultilevel"/>
    <w:tmpl w:val="F9FAAF82"/>
    <w:lvl w:ilvl="0" w:tplc="1C00892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1D6F16"/>
    <w:multiLevelType w:val="multilevel"/>
    <w:tmpl w:val="DCD0B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6F41B2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423CB1"/>
    <w:multiLevelType w:val="hybridMultilevel"/>
    <w:tmpl w:val="B0AAEE06"/>
    <w:lvl w:ilvl="0" w:tplc="0813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2A1A07"/>
    <w:multiLevelType w:val="multilevel"/>
    <w:tmpl w:val="6B2853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845EF3"/>
    <w:multiLevelType w:val="multilevel"/>
    <w:tmpl w:val="2E3AADF2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3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9" w15:restartNumberingAfterBreak="0">
    <w:nsid w:val="662A2954"/>
    <w:multiLevelType w:val="multilevel"/>
    <w:tmpl w:val="7B364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69A6BE4"/>
    <w:multiLevelType w:val="multilevel"/>
    <w:tmpl w:val="BD643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D95247"/>
    <w:multiLevelType w:val="multilevel"/>
    <w:tmpl w:val="D1AAFB98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8F60319"/>
    <w:multiLevelType w:val="multilevel"/>
    <w:tmpl w:val="1A44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D5F2918"/>
    <w:multiLevelType w:val="multilevel"/>
    <w:tmpl w:val="87EA7D84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57973D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F03A72"/>
    <w:multiLevelType w:val="hybridMultilevel"/>
    <w:tmpl w:val="6FA6BCE4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7047A3"/>
    <w:multiLevelType w:val="multilevel"/>
    <w:tmpl w:val="2E3AADF2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3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30"/>
  </w:num>
  <w:num w:numId="4">
    <w:abstractNumId w:val="24"/>
  </w:num>
  <w:num w:numId="5">
    <w:abstractNumId w:val="29"/>
  </w:num>
  <w:num w:numId="6">
    <w:abstractNumId w:val="32"/>
  </w:num>
  <w:num w:numId="7">
    <w:abstractNumId w:val="8"/>
  </w:num>
  <w:num w:numId="8">
    <w:abstractNumId w:val="16"/>
  </w:num>
  <w:num w:numId="9">
    <w:abstractNumId w:val="18"/>
  </w:num>
  <w:num w:numId="10">
    <w:abstractNumId w:val="31"/>
  </w:num>
  <w:num w:numId="11">
    <w:abstractNumId w:val="4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7"/>
  </w:num>
  <w:num w:numId="17">
    <w:abstractNumId w:val="33"/>
  </w:num>
  <w:num w:numId="18">
    <w:abstractNumId w:val="26"/>
  </w:num>
  <w:num w:numId="19">
    <w:abstractNumId w:val="28"/>
  </w:num>
  <w:num w:numId="20">
    <w:abstractNumId w:val="36"/>
  </w:num>
  <w:num w:numId="21">
    <w:abstractNumId w:val="11"/>
  </w:num>
  <w:num w:numId="22">
    <w:abstractNumId w:val="17"/>
  </w:num>
  <w:num w:numId="23">
    <w:abstractNumId w:val="0"/>
  </w:num>
  <w:num w:numId="24">
    <w:abstractNumId w:val="6"/>
  </w:num>
  <w:num w:numId="25">
    <w:abstractNumId w:val="10"/>
  </w:num>
  <w:num w:numId="26">
    <w:abstractNumId w:val="27"/>
  </w:num>
  <w:num w:numId="27">
    <w:abstractNumId w:val="23"/>
  </w:num>
  <w:num w:numId="28">
    <w:abstractNumId w:val="13"/>
  </w:num>
  <w:num w:numId="29">
    <w:abstractNumId w:val="20"/>
  </w:num>
  <w:num w:numId="30">
    <w:abstractNumId w:val="1"/>
  </w:num>
  <w:num w:numId="31">
    <w:abstractNumId w:val="5"/>
  </w:num>
  <w:num w:numId="32">
    <w:abstractNumId w:val="22"/>
  </w:num>
  <w:num w:numId="33">
    <w:abstractNumId w:val="3"/>
  </w:num>
  <w:num w:numId="34">
    <w:abstractNumId w:val="34"/>
  </w:num>
  <w:num w:numId="35">
    <w:abstractNumId w:val="25"/>
  </w:num>
  <w:num w:numId="36">
    <w:abstractNumId w:val="3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B2"/>
    <w:rsid w:val="000A1AA0"/>
    <w:rsid w:val="00137489"/>
    <w:rsid w:val="001662FD"/>
    <w:rsid w:val="001B788D"/>
    <w:rsid w:val="00250EBD"/>
    <w:rsid w:val="00256F13"/>
    <w:rsid w:val="002A6D64"/>
    <w:rsid w:val="002C08C3"/>
    <w:rsid w:val="002D0D57"/>
    <w:rsid w:val="00350CB9"/>
    <w:rsid w:val="00366DBE"/>
    <w:rsid w:val="003B027B"/>
    <w:rsid w:val="003F6851"/>
    <w:rsid w:val="004B35F0"/>
    <w:rsid w:val="005811B2"/>
    <w:rsid w:val="00622F14"/>
    <w:rsid w:val="006E0BC9"/>
    <w:rsid w:val="007544DB"/>
    <w:rsid w:val="007718A6"/>
    <w:rsid w:val="00816894"/>
    <w:rsid w:val="008B2D32"/>
    <w:rsid w:val="008D09A1"/>
    <w:rsid w:val="009544DB"/>
    <w:rsid w:val="009600EF"/>
    <w:rsid w:val="009B1F02"/>
    <w:rsid w:val="009D1108"/>
    <w:rsid w:val="00A11847"/>
    <w:rsid w:val="00A47993"/>
    <w:rsid w:val="00A8026A"/>
    <w:rsid w:val="00B02743"/>
    <w:rsid w:val="00B606A9"/>
    <w:rsid w:val="00BF52F3"/>
    <w:rsid w:val="00C57C44"/>
    <w:rsid w:val="00CF3927"/>
    <w:rsid w:val="00D069BB"/>
    <w:rsid w:val="00D121B1"/>
    <w:rsid w:val="00D277B1"/>
    <w:rsid w:val="00D54EB7"/>
    <w:rsid w:val="00DC3CB7"/>
    <w:rsid w:val="00EA0F0D"/>
    <w:rsid w:val="00F07F5F"/>
    <w:rsid w:val="00F26909"/>
    <w:rsid w:val="00FB00E4"/>
    <w:rsid w:val="00F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4697"/>
  <w15:docId w15:val="{EE042941-1D16-43B9-BD5B-9FDBC9B1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numPr>
        <w:numId w:val="22"/>
      </w:numPr>
      <w:spacing w:before="480" w:after="360" w:line="432" w:lineRule="auto"/>
      <w:outlineLvl w:val="0"/>
    </w:pPr>
    <w:rPr>
      <w:b/>
      <w:smallCaps/>
      <w:color w:val="373636"/>
      <w:sz w:val="36"/>
      <w:szCs w:val="36"/>
    </w:rPr>
  </w:style>
  <w:style w:type="paragraph" w:styleId="Kop2">
    <w:name w:val="heading 2"/>
    <w:basedOn w:val="Standaard"/>
    <w:next w:val="Standaard"/>
    <w:pPr>
      <w:keepNext/>
      <w:keepLines/>
      <w:numPr>
        <w:numId w:val="23"/>
      </w:numPr>
      <w:spacing w:before="360" w:after="320" w:line="400" w:lineRule="auto"/>
      <w:outlineLvl w:val="1"/>
    </w:pPr>
    <w:rPr>
      <w:b/>
      <w:smallCaps/>
      <w:color w:val="373636"/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240" w:after="120" w:line="288" w:lineRule="auto"/>
      <w:ind w:left="720" w:hanging="720"/>
      <w:outlineLvl w:val="2"/>
    </w:pPr>
    <w:rPr>
      <w:b/>
      <w:color w:val="6B6B6B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200"/>
      <w:ind w:left="864" w:hanging="864"/>
      <w:outlineLvl w:val="3"/>
    </w:pPr>
    <w:rPr>
      <w:b/>
      <w:color w:val="6B6B6B"/>
    </w:rPr>
  </w:style>
  <w:style w:type="paragraph" w:styleId="Kop5">
    <w:name w:val="heading 5"/>
    <w:basedOn w:val="Standaard"/>
    <w:next w:val="Standaard"/>
    <w:pPr>
      <w:keepNext/>
      <w:keepLines/>
      <w:spacing w:before="200"/>
      <w:ind w:left="1008" w:hanging="1008"/>
      <w:outlineLvl w:val="4"/>
    </w:pPr>
    <w:rPr>
      <w:color w:val="6B6B6B"/>
    </w:rPr>
  </w:style>
  <w:style w:type="paragraph" w:styleId="Kop6">
    <w:name w:val="heading 6"/>
    <w:basedOn w:val="Standaard"/>
    <w:next w:val="Standaard"/>
    <w:pPr>
      <w:keepNext/>
      <w:keepLines/>
      <w:spacing w:before="200"/>
      <w:ind w:left="1152" w:hanging="1152"/>
      <w:outlineLvl w:val="5"/>
    </w:pPr>
    <w:rPr>
      <w:color w:val="6B6B6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spacing w:before="720" w:after="840" w:line="240" w:lineRule="auto"/>
      <w:jc w:val="right"/>
    </w:pPr>
    <w:rPr>
      <w:b/>
      <w:smallCaps/>
      <w:sz w:val="72"/>
      <w:szCs w:val="72"/>
    </w:rPr>
  </w:style>
  <w:style w:type="paragraph" w:styleId="Ondertitel">
    <w:name w:val="Subtitle"/>
    <w:basedOn w:val="Standaard"/>
    <w:next w:val="Standaard"/>
    <w:pPr>
      <w:spacing w:line="240" w:lineRule="auto"/>
      <w:jc w:val="right"/>
    </w:pPr>
    <w:rPr>
      <w:color w:val="6B6B6B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027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2743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816894"/>
    <w:pPr>
      <w:ind w:left="720"/>
      <w:contextualSpacing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22F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22F14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D277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</w:pPr>
  </w:style>
  <w:style w:type="paragraph" w:customStyle="1" w:styleId="paragraph">
    <w:name w:val="paragraph"/>
    <w:basedOn w:val="Standaard"/>
    <w:rsid w:val="003B02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normaltextrun">
    <w:name w:val="normaltextrun"/>
    <w:basedOn w:val="Standaardalinea-lettertype"/>
    <w:rsid w:val="003B027B"/>
  </w:style>
  <w:style w:type="character" w:customStyle="1" w:styleId="eop">
    <w:name w:val="eop"/>
    <w:basedOn w:val="Standaardalinea-lettertype"/>
    <w:rsid w:val="003B027B"/>
  </w:style>
  <w:style w:type="character" w:customStyle="1" w:styleId="contextualspellingandgrammarerror">
    <w:name w:val="contextualspellingandgrammarerror"/>
    <w:basedOn w:val="Standaardalinea-lettertype"/>
    <w:rsid w:val="003B027B"/>
  </w:style>
  <w:style w:type="character" w:customStyle="1" w:styleId="spellingerror">
    <w:name w:val="spellingerror"/>
    <w:basedOn w:val="Standaardalinea-lettertype"/>
    <w:rsid w:val="003B027B"/>
  </w:style>
  <w:style w:type="table" w:styleId="Tabelraster">
    <w:name w:val="Table Grid"/>
    <w:basedOn w:val="Standaardtabel"/>
    <w:uiPriority w:val="39"/>
    <w:rsid w:val="00256F1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6A992C3F584E9B9EE8DBA11D9CD0" ma:contentTypeVersion="12" ma:contentTypeDescription="Een nieuw document maken." ma:contentTypeScope="" ma:versionID="846e9f72ee8639be3cfb601cde9d36d7">
  <xsd:schema xmlns:xsd="http://www.w3.org/2001/XMLSchema" xmlns:xs="http://www.w3.org/2001/XMLSchema" xmlns:p="http://schemas.microsoft.com/office/2006/metadata/properties" xmlns:ns2="7b058369-ebea-4acd-a3d5-e768979221f3" xmlns:ns3="295d4b4e-86ec-4d95-8040-ec51c8007493" targetNamespace="http://schemas.microsoft.com/office/2006/metadata/properties" ma:root="true" ma:fieldsID="e5e4b072aa7b99f79216416a8bd13115" ns2:_="" ns3:_="">
    <xsd:import namespace="7b058369-ebea-4acd-a3d5-e768979221f3"/>
    <xsd:import namespace="295d4b4e-86ec-4d95-8040-ec51c8007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58369-ebea-4acd-a3d5-e768979221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d4b4e-86ec-4d95-8040-ec51c8007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3B1B6-6C3A-4F5A-91C3-8DDA20DF3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C58D7D-895D-4849-9683-42B453267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DDC2E2-F687-4881-8649-0D32B5CB9676}"/>
</file>

<file path=customXml/itemProps4.xml><?xml version="1.0" encoding="utf-8"?>
<ds:datastoreItem xmlns:ds="http://schemas.openxmlformats.org/officeDocument/2006/customXml" ds:itemID="{9263CA3C-D8FE-4D16-B77B-810A2F2E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794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Vlaamse Overheid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Vanlishout, Ziggy</dc:creator>
  <cp:lastModifiedBy>Beyaert Veerle</cp:lastModifiedBy>
  <cp:revision>5</cp:revision>
  <cp:lastPrinted>2019-04-23T08:05:00Z</cp:lastPrinted>
  <dcterms:created xsi:type="dcterms:W3CDTF">2019-05-08T08:58:00Z</dcterms:created>
  <dcterms:modified xsi:type="dcterms:W3CDTF">2019-11-22T14:38:00Z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0x0101008F5E6A992C3F584E9B9EE8DBA11D9CD0</vt:lpwstr>
  </property>
</Properties>
</file>