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風險登錄表</w:t>
      </w:r>
    </w:p>
    <w:p>
      <w:r>
        <w:rPr>
          <w:rFonts w:ascii="Calibri" w:hAnsi="Calibri" w:eastAsia="Microsoft JhengHei" w:cs="Calibri"/>
        </w:rPr>
        <w:t xml:space="preserve">專案或年度風險的集中管理表；風險值＝可能性 × 影響，決定處理順序。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專案／單位名稱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建立日期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最後更新日期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管理人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一、評分基準</w:t>
      </w:r>
    </w:p>
    <w:tbl>
      <w:tblPr>
        <w:tblStyle w:val="TableGrid"/>
        <w:tblW w:w="9360" w:type="dxa"/>
      </w:tblPr>
      <w:tblGrid>
        <w:gridCol w:w="900"/>
        <w:gridCol w:w="3600"/>
        <w:gridCol w:w="4860"/>
      </w:tblGrid>
      <w:tr>
        <w:trPr>
          <w:tblHeader/>
        </w:trPr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分數</w:t>
            </w:r>
          </w:p>
        </w:tc>
        <w:tc>
          <w:tcPr>
            <w:tcW w:w="3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可能性</w:t>
            </w:r>
          </w:p>
        </w:tc>
        <w:tc>
          <w:tcPr>
            <w:tcW w:w="4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影響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幾乎必然發生（&gt; 90%）</w:t>
            </w:r>
          </w:p>
        </w:tc>
        <w:tc>
          <w:tcPr>
            <w:tcW w:w="4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服務全面中斷或重大違法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很可能（60～90%）</w:t>
            </w:r>
          </w:p>
        </w:tc>
        <w:tc>
          <w:tcPr>
            <w:tcW w:w="4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主要服務中斷數小時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可能（30～60%）</w:t>
            </w:r>
          </w:p>
        </w:tc>
        <w:tc>
          <w:tcPr>
            <w:tcW w:w="4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部分功能受影響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不太可能（10～30%）</w:t>
            </w:r>
          </w:p>
        </w:tc>
        <w:tc>
          <w:tcPr>
            <w:tcW w:w="4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輕微影響，使用者可容忍</w:t>
            </w:r>
          </w:p>
        </w:tc>
      </w:tr>
      <w:tr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幾乎不會（&lt; 10%）</w:t>
            </w:r>
          </w:p>
        </w:tc>
        <w:tc>
          <w:tcPr>
            <w:tcW w:w="4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幾乎無影響</w:t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風險值＝可能性 × 影響。15 以上為高風險須立即處理，8～14 為中風險須訂定計畫，7 以下持續監控。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二、風險明細</w:t>
      </w:r>
    </w:p>
    <w:tbl>
      <w:tblPr>
        <w:tblStyle w:val="TableGrid"/>
        <w:tblW w:w="9360" w:type="dxa"/>
      </w:tblPr>
      <w:tblGrid>
        <w:gridCol w:w="800"/>
        <w:gridCol w:w="2000"/>
        <w:gridCol w:w="900"/>
        <w:gridCol w:w="700"/>
        <w:gridCol w:w="700"/>
        <w:gridCol w:w="700"/>
        <w:gridCol w:w="1800"/>
        <w:gridCol w:w="800"/>
        <w:gridCol w:w="1000"/>
        <w:gridCol w:w="760"/>
      </w:tblGrid>
      <w:tr>
        <w:trPr>
          <w:tblHeader/>
        </w:trPr>
        <w:tc>
          <w:tcPr>
            <w:tcW w:w="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風險描述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類別</w:t>
            </w:r>
          </w:p>
        </w:tc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可能性</w:t>
            </w:r>
          </w:p>
        </w:tc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影響</w:t>
            </w:r>
          </w:p>
        </w:tc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風險值</w:t>
            </w:r>
          </w:p>
        </w:tc>
        <w:tc>
          <w:tcPr>
            <w:tcW w:w="1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因應策略</w:t>
            </w:r>
          </w:p>
        </w:tc>
        <w:tc>
          <w:tcPr>
            <w:tcW w:w="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期限</w:t>
            </w:r>
          </w:p>
        </w:tc>
        <w:tc>
          <w:tcPr>
            <w:tcW w:w="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狀態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R-02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R-04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R-05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R-06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R-07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R-08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因應策略填：規避／轉移／減輕／接受。狀態填：待處理／處理中／已控制／已關閉。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三、高風險追蹤</w:t>
      </w:r>
    </w:p>
    <w:tbl>
      <w:tblPr>
        <w:tblStyle w:val="TableGrid"/>
        <w:tblW w:w="9360" w:type="dxa"/>
      </w:tblPr>
      <w:tblGrid>
        <w:gridCol w:w="800"/>
        <w:gridCol w:w="5000"/>
        <w:gridCol w:w="1600"/>
        <w:gridCol w:w="1960"/>
      </w:tblGrid>
      <w:tr>
        <w:trPr>
          <w:tblHeader/>
        </w:trPr>
        <w:tc>
          <w:tcPr>
            <w:tcW w:w="8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5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目前作為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殘餘風險值</w:t>
            </w:r>
          </w:p>
        </w:tc>
        <w:tc>
          <w:tcPr>
            <w:tcW w:w="1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下次檢視日期</w:t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8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對應章節：080-專案管理/01-專案管理基礎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