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弱點修補追蹤表</w:t>
      </w:r>
    </w:p>
    <w:p>
      <w:r>
        <w:rPr>
          <w:rFonts w:ascii="Calibri" w:hAnsi="Calibri" w:eastAsia="Microsoft JhengHei" w:cs="Calibri"/>
        </w:rPr>
        <w:t xml:space="preserve">把掃描報告變成可追蹤的工作清單；修補期限依風險等級訂定並列入每月合規統計。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掃描日期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掃描工具與版本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掃描範圍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一、修補期限基準</w:t>
      </w:r>
    </w:p>
    <w:tbl>
      <w:tblPr>
        <w:tblStyle w:val="TableGrid"/>
        <w:tblW w:w="9360" w:type="dxa"/>
      </w:tblPr>
      <w:tblGrid>
        <w:gridCol w:w="1600"/>
        <w:gridCol w:w="1800"/>
        <w:gridCol w:w="1600"/>
        <w:gridCol w:w="436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風險等級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CVSS 分數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修補期限</w:t>
            </w:r>
          </w:p>
        </w:tc>
        <w:tc>
          <w:tcPr>
            <w:tcW w:w="4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無法如期時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嚴重 Critical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9.0 ～ 10.0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 日內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須填緩解措施並經主管核准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高 High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7.0 ～ 8.9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14 日內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須填緩解措施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中 Medium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4.0 ～ 6.9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30 日內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列入月報追蹤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低 Low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0.1 ～ 3.9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90 日內或隨版更新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持續監控</w:t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二、弱點明細</w:t>
      </w:r>
    </w:p>
    <w:tbl>
      <w:tblPr>
        <w:tblStyle w:val="TableGrid"/>
        <w:tblW w:w="9360" w:type="dxa"/>
      </w:tblPr>
      <w:tblGrid>
        <w:gridCol w:w="700"/>
        <w:gridCol w:w="1300"/>
        <w:gridCol w:w="1200"/>
        <w:gridCol w:w="1300"/>
        <w:gridCol w:w="700"/>
        <w:gridCol w:w="800"/>
        <w:gridCol w:w="800"/>
        <w:gridCol w:w="900"/>
        <w:gridCol w:w="900"/>
        <w:gridCol w:w="7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主機／資產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服務／元件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CVE 編號</w:t>
            </w:r>
          </w:p>
        </w:tc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CVSS</w:t>
            </w:r>
          </w:p>
        </w:tc>
        <w:tc>
          <w:tcPr>
            <w:tcW w:w="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風險等級</w:t>
            </w:r>
          </w:p>
        </w:tc>
        <w:tc>
          <w:tcPr>
            <w:tcW w:w="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發現日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修補期限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狀態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V-01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V-02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V-03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V-04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V-05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V-06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V-07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V-08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V-09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V-10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狀態填：待處理／修補中／已修補待驗證／已完成／風險接受。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三、風險接受或延期項目</w:t>
      </w:r>
    </w:p>
    <w:p>
      <w:r>
        <w:rPr>
          <w:rFonts w:ascii="Calibri" w:hAnsi="Calibri" w:eastAsia="Microsoft JhengHei" w:cs="Calibri"/>
        </w:rPr>
        <w:t xml:space="preserve">★ 每一筆都必須說明「為什麼不能修」與「改用什麼補償控制措施」。</w:t>
      </w:r>
    </w:p>
    <w:tbl>
      <w:tblPr>
        <w:tblStyle w:val="TableGrid"/>
        <w:tblW w:w="9360" w:type="dxa"/>
      </w:tblPr>
      <w:tblGrid>
        <w:gridCol w:w="700"/>
        <w:gridCol w:w="2600"/>
        <w:gridCol w:w="3200"/>
        <w:gridCol w:w="1500"/>
        <w:gridCol w:w="13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原因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補償控制措施</w:t>
            </w:r>
          </w:p>
        </w:tc>
        <w:tc>
          <w:tcPr>
            <w:tcW w:w="15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重新評估日期</w:t>
            </w:r>
          </w:p>
        </w:tc>
        <w:tc>
          <w:tcPr>
            <w:tcW w:w="1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核准主管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四、複測與統計</w:t>
      </w:r>
    </w:p>
    <w:tbl>
      <w:tblPr>
        <w:tblStyle w:val="TableGrid"/>
        <w:tblW w:w="9360" w:type="dxa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數值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本次弱點總數（嚴重／高／中／低）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逾期未修補數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本期已修補數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修補完成率（%）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複測日期與結果</w:t>
            </w:r>
          </w:p>
        </w:tc>
        <w:tc>
          <w:tcPr>
            <w:tcW w:w="5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對應章節：090-資訊安全/02-系統與網路防護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