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BBA6D" w14:textId="51D39ACC" w:rsidR="00000552" w:rsidRPr="008218AB"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You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r w:rsidR="0026375C">
        <w:rPr>
          <w:rFonts w:ascii="Times New Roman" w:eastAsia="Times New Roman" w:hAnsi="Times New Roman" w:cs="Times New Roman"/>
          <w:color w:val="000000"/>
        </w:rPr>
        <w:t>OpenSourceCoe@infosys.com</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You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You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t>If Your employer(s) has rights to intellectual property that You create, You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acknowledges that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0E3623BF"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r w:rsidR="0026375C" w:rsidRPr="0026375C">
        <w:rPr>
          <w:color w:val="000000"/>
          <w:sz w:val="22"/>
          <w:szCs w:val="22"/>
        </w:rPr>
        <w:t>OpenSourceCoe@infosys.com</w:t>
      </w:r>
      <w:bookmarkStart w:id="0" w:name="_GoBack"/>
      <w:bookmarkEnd w:id="0"/>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35A64" w14:textId="77777777" w:rsidR="002D2159" w:rsidRDefault="002D2159" w:rsidP="00315C84">
      <w:pPr>
        <w:spacing w:after="0" w:line="240" w:lineRule="auto"/>
      </w:pPr>
      <w:r>
        <w:separator/>
      </w:r>
    </w:p>
  </w:endnote>
  <w:endnote w:type="continuationSeparator" w:id="0">
    <w:p w14:paraId="220210EA" w14:textId="77777777" w:rsidR="002D2159" w:rsidRDefault="002D2159"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99E47" w14:textId="77777777" w:rsidR="002D2159" w:rsidRDefault="002D2159" w:rsidP="00315C84">
      <w:pPr>
        <w:spacing w:after="0" w:line="240" w:lineRule="auto"/>
      </w:pPr>
      <w:r>
        <w:separator/>
      </w:r>
    </w:p>
  </w:footnote>
  <w:footnote w:type="continuationSeparator" w:id="0">
    <w:p w14:paraId="4D483433" w14:textId="77777777" w:rsidR="002D2159" w:rsidRDefault="002D2159"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EE"/>
    <w:rsid w:val="00000552"/>
    <w:rsid w:val="00017590"/>
    <w:rsid w:val="000177B7"/>
    <w:rsid w:val="000478D5"/>
    <w:rsid w:val="000905A4"/>
    <w:rsid w:val="000C28D8"/>
    <w:rsid w:val="000F4157"/>
    <w:rsid w:val="001075B2"/>
    <w:rsid w:val="00162B0F"/>
    <w:rsid w:val="00173043"/>
    <w:rsid w:val="00184E9E"/>
    <w:rsid w:val="001C654E"/>
    <w:rsid w:val="001F40FF"/>
    <w:rsid w:val="001F6F1B"/>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820EE"/>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20109"/>
    <w:rsid w:val="008218AB"/>
    <w:rsid w:val="008A643B"/>
    <w:rsid w:val="008B7367"/>
    <w:rsid w:val="008E65C8"/>
    <w:rsid w:val="009630D3"/>
    <w:rsid w:val="009A5168"/>
    <w:rsid w:val="009C7946"/>
    <w:rsid w:val="009D7B90"/>
    <w:rsid w:val="009F1506"/>
    <w:rsid w:val="00A65583"/>
    <w:rsid w:val="00A95348"/>
    <w:rsid w:val="00AB51D8"/>
    <w:rsid w:val="00AD6EF1"/>
    <w:rsid w:val="00AE1E78"/>
    <w:rsid w:val="00AE3C56"/>
    <w:rsid w:val="00B277CD"/>
    <w:rsid w:val="00B27E41"/>
    <w:rsid w:val="00C17E65"/>
    <w:rsid w:val="00C64FA1"/>
    <w:rsid w:val="00C73718"/>
    <w:rsid w:val="00CB5D2F"/>
    <w:rsid w:val="00CD41DE"/>
    <w:rsid w:val="00D31602"/>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Sudha Tegginamani</cp:lastModifiedBy>
  <cp:revision>3</cp:revision>
  <dcterms:created xsi:type="dcterms:W3CDTF">2019-07-08T09:00:00Z</dcterms:created>
  <dcterms:modified xsi:type="dcterms:W3CDTF">2019-07-12T09:51:00Z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Neha11@ad.infosys.com</vt:lpwstr>
  </property>
  <property fmtid="{D5CDD505-2E9C-101B-9397-08002B2CF9AE}" pid="12" name="MSIP_Label_a0819fa7-4367-4500-ba88-dd630d977609_SetDate">
    <vt:lpwstr>2018-09-25T07:23:18.3957148Z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