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F7AC1E" w14:textId="77777777" w:rsidR="00DF1928" w:rsidRDefault="00140E73">
      <w:pPr>
        <w:pStyle w:val="Title"/>
        <w:jc w:val="center"/>
      </w:pPr>
      <w:r>
        <w:t>Human Quotient, ICE Capacity, and the Human-in-the-Loop Dominion Principle</w:t>
      </w:r>
    </w:p>
    <w:p w14:paraId="4892D20A" w14:textId="77777777" w:rsidR="00DF1928" w:rsidRDefault="00140E73">
      <w:pPr>
        <w:pStyle w:val="Heading1"/>
      </w:pPr>
      <w:r>
        <w:t>Purpose</w:t>
      </w:r>
    </w:p>
    <w:p w14:paraId="4390ACFD" w14:textId="77777777" w:rsidR="00DF1928" w:rsidRDefault="00140E73">
      <w:pPr>
        <w:rPr>
          <w:rFonts w:hint="eastAsia"/>
        </w:rPr>
      </w:pPr>
      <w:r>
        <w:t>This document records the foundational architecture in a concise, formal form. It defines the Human Quotient as an integrated human-capacity model, identifies the ICE tensor as its structural basis, places the iCU at the human–machine boundary, and explains how the docked operator enters the civilisational relay system. The document distinguishes the internal mechanics of capacity from the identity and time coordinates that situate an operator in the world.</w:t>
      </w:r>
    </w:p>
    <w:p w14:paraId="20493A35" w14:textId="77777777" w:rsidR="00DF1928" w:rsidRDefault="00140E73">
      <w:pPr>
        <w:pStyle w:val="Heading1"/>
      </w:pPr>
      <w:r>
        <w:t>1. The canonical subject</w:t>
      </w:r>
    </w:p>
    <w:p w14:paraId="344AC3FE" w14:textId="77777777" w:rsidR="00DF1928" w:rsidRDefault="00140E73">
      <w:pPr>
        <w:rPr>
          <w:rFonts w:hint="eastAsia"/>
        </w:rPr>
      </w:pPr>
      <w:r>
        <w:t xml:space="preserve">The canonical term is </w:t>
      </w:r>
      <w:r>
        <w:rPr>
          <w:b/>
        </w:rPr>
        <w:t>Human Quotient (HQ)</w:t>
      </w:r>
      <w:r>
        <w:t xml:space="preserve">, also written as </w:t>
      </w:r>
      <w:r>
        <w:rPr>
          <w:b/>
        </w:rPr>
        <w:t>H</w:t>
      </w:r>
      <w:r>
        <w:t xml:space="preserve">. HQ represents the integrated volumetric capacity of the whole human. Earlier expressions such as “Haptic Quotient” and “Holistic Quotient” may appear in historical material, but they are descriptive or legacy labels. They must not replace </w:t>
      </w:r>
      <w:r>
        <w:rPr>
          <w:b/>
        </w:rPr>
        <w:t>Human Quotient</w:t>
      </w:r>
      <w:r>
        <w:t xml:space="preserve"> in current headings, equations, indexes, or teaching material.</w:t>
      </w:r>
    </w:p>
    <w:p w14:paraId="334DBEB7" w14:textId="77777777" w:rsidR="00DF1928" w:rsidRDefault="00140E73">
      <w:pPr>
        <w:rPr>
          <w:rFonts w:hint="eastAsia"/>
        </w:rPr>
      </w:pPr>
      <w:r>
        <w:t>The governing question is not whether a machine can imitate one human capability. It is whether a whole human operator can maintain integrated capacity, agency, purpose, and dominion while using machine infrastructure.</w:t>
      </w:r>
    </w:p>
    <w:p w14:paraId="489A4B58" w14:textId="77777777" w:rsidR="00DF1928" w:rsidRDefault="00140E73">
      <w:pPr>
        <w:pStyle w:val="Heading1"/>
      </w:pPr>
      <w:r>
        <w:t>2. The ICE three-vector</w:t>
      </w:r>
    </w:p>
    <w:p w14:paraId="62495924" w14:textId="77777777" w:rsidR="00DF1928" w:rsidRDefault="00140E73">
      <w:pPr>
        <w:rPr>
          <w:rFonts w:hint="eastAsia"/>
        </w:rPr>
      </w:pPr>
      <w:r>
        <w:t>Human capacity is represented by three structural dimensions: Intelligence Quotient (IQ), Emotional/Environmental/Embedded Empathy Quotient (EQ), and Creative Quotient (CQ). In the dimensional progression, IQ supplies the first directional vector, EQ expands the vector into a relational field, and CQ creates the volumetric tensor in which new forms can be imagined and built.</w:t>
      </w:r>
    </w:p>
    <w:p w14:paraId="32EDA2AE" w14:textId="77777777" w:rsidR="00DF1928" w:rsidRDefault="00140E73">
      <w:pPr>
        <w:rPr>
          <w:rFonts w:hint="eastAsia"/>
        </w:rPr>
      </w:pPr>
      <w:r>
        <w:rPr>
          <w:b/>
        </w:rPr>
        <w:t>IQ — the X-axis.</w:t>
      </w:r>
      <w:r>
        <w:t xml:space="preserve"> IQ represents what is known: innate intelligence, logic, computation, reasoning, and survival capability. It is associated with the Fire element and the Tetrahedron. Within the model, IQ is primarily inherited or present at birth.</w:t>
      </w:r>
    </w:p>
    <w:p w14:paraId="6186B690" w14:textId="77777777" w:rsidR="00DF1928" w:rsidRDefault="00140E73">
      <w:pPr>
        <w:rPr>
          <w:rFonts w:hint="eastAsia"/>
        </w:rPr>
      </w:pPr>
      <w:r>
        <w:rPr>
          <w:b/>
        </w:rPr>
        <w:t>EQ — the Y-axis.</w:t>
      </w:r>
      <w:r>
        <w:t xml:space="preserve"> EQ represents what is felt and how connection occurs: emotion, environment, embedded empathy, relationship, and flow. It is associated with the Water element and the Icosahedron. Within the model, EQ is developed through experience, connection, and interaction.</w:t>
      </w:r>
    </w:p>
    <w:p w14:paraId="0816ABDA" w14:textId="77777777" w:rsidR="00DF1928" w:rsidRDefault="00140E73">
      <w:pPr>
        <w:rPr>
          <w:rFonts w:hint="eastAsia"/>
        </w:rPr>
      </w:pPr>
      <w:r>
        <w:rPr>
          <w:b/>
        </w:rPr>
        <w:t>CQ — the Z-axis.</w:t>
      </w:r>
      <w:r>
        <w:t xml:space="preserve"> CQ represents what is created: consciousness, awareness, invention, synthesis, and the capacity to build. It is associated with the Aether/Tectonic element and the Dodecahedron. CQ is created rather than inherited; it is built like infrastructure.</w:t>
      </w:r>
    </w:p>
    <w:p w14:paraId="68CB6F22" w14:textId="77777777" w:rsidR="00DF1928" w:rsidRDefault="00140E73">
      <w:pPr>
        <w:pStyle w:val="Heading1"/>
      </w:pPr>
      <w:r>
        <w:t>3. The tensor and Human Quotient</w:t>
      </w:r>
    </w:p>
    <w:p w14:paraId="5F735A3E" w14:textId="77777777" w:rsidR="00DF1928" w:rsidRDefault="00140E73">
      <w:pPr>
        <w:rPr>
          <w:rFonts w:hint="eastAsia"/>
        </w:rPr>
      </w:pPr>
      <w:r>
        <w:t>The tensor form is:</w:t>
      </w:r>
    </w:p>
    <w:p w14:paraId="6759F621" w14:textId="77777777" w:rsidR="00DF1928" w:rsidRDefault="00140E73">
      <w:pPr>
        <w:pStyle w:val="IntenseQuote"/>
        <w:rPr>
          <w:rFonts w:hint="eastAsia"/>
        </w:rPr>
      </w:pPr>
      <w:r>
        <w:t>HQ = IQ ⊗ EQ ⊗ CQ</w:t>
      </w:r>
    </w:p>
    <w:p w14:paraId="014448A1" w14:textId="77777777" w:rsidR="00DF1928" w:rsidRDefault="00140E73">
      <w:pPr>
        <w:rPr>
          <w:rFonts w:hint="eastAsia"/>
        </w:rPr>
      </w:pPr>
      <w:r>
        <w:t>The corresponding scalar-volume form is:</w:t>
      </w:r>
    </w:p>
    <w:p w14:paraId="33A2E689" w14:textId="77777777" w:rsidR="00DF1928" w:rsidRDefault="00140E73">
      <w:pPr>
        <w:pStyle w:val="IntenseQuote"/>
        <w:rPr>
          <w:rFonts w:hint="eastAsia"/>
        </w:rPr>
      </w:pPr>
      <w:r>
        <w:t>V = IQₙ × EQₙ × CQₙ</w:t>
      </w:r>
    </w:p>
    <w:p w14:paraId="0B72E965" w14:textId="77777777" w:rsidR="00DF1928" w:rsidRDefault="00140E73">
      <w:pPr>
        <w:rPr>
          <w:rFonts w:hint="eastAsia"/>
        </w:rPr>
      </w:pPr>
      <w:r>
        <w:t>The progression is therefore:</w:t>
      </w:r>
    </w:p>
    <w:tbl>
      <w:tblPr>
        <w:tblStyle w:val="TableGrid"/>
        <w:tblW w:w="0" w:type="auto"/>
        <w:tblLook w:val="04A0" w:firstRow="1" w:lastRow="0" w:firstColumn="1" w:lastColumn="0" w:noHBand="0" w:noVBand="1"/>
      </w:tblPr>
      <w:tblGrid>
        <w:gridCol w:w="3312"/>
        <w:gridCol w:w="3312"/>
        <w:gridCol w:w="3312"/>
      </w:tblGrid>
      <w:tr w:rsidR="00DF1928" w14:paraId="2D2F647E" w14:textId="77777777">
        <w:tc>
          <w:tcPr>
            <w:tcW w:w="3312" w:type="dxa"/>
            <w:shd w:val="clear" w:color="auto" w:fill="D9C27A"/>
          </w:tcPr>
          <w:p w14:paraId="52707B94" w14:textId="77777777" w:rsidR="00DF1928" w:rsidRDefault="00140E73">
            <w:pPr>
              <w:rPr>
                <w:rFonts w:hint="eastAsia"/>
              </w:rPr>
            </w:pPr>
            <w:r>
              <w:rPr>
                <w:b/>
                <w:sz w:val="20"/>
              </w:rPr>
              <w:t>Dimensional stage</w:t>
            </w:r>
          </w:p>
        </w:tc>
        <w:tc>
          <w:tcPr>
            <w:tcW w:w="3312" w:type="dxa"/>
            <w:shd w:val="clear" w:color="auto" w:fill="D9C27A"/>
          </w:tcPr>
          <w:p w14:paraId="4041C195" w14:textId="77777777" w:rsidR="00DF1928" w:rsidRDefault="00140E73">
            <w:pPr>
              <w:rPr>
                <w:rFonts w:hint="eastAsia"/>
              </w:rPr>
            </w:pPr>
            <w:r>
              <w:rPr>
                <w:b/>
                <w:sz w:val="20"/>
              </w:rPr>
              <w:t>Mathematical form</w:t>
            </w:r>
          </w:p>
        </w:tc>
        <w:tc>
          <w:tcPr>
            <w:tcW w:w="3312" w:type="dxa"/>
            <w:shd w:val="clear" w:color="auto" w:fill="D9C27A"/>
          </w:tcPr>
          <w:p w14:paraId="35AC4713" w14:textId="77777777" w:rsidR="00DF1928" w:rsidRDefault="00140E73">
            <w:pPr>
              <w:rPr>
                <w:rFonts w:hint="eastAsia"/>
              </w:rPr>
            </w:pPr>
            <w:r>
              <w:rPr>
                <w:b/>
                <w:sz w:val="20"/>
              </w:rPr>
              <w:t>Framework meaning</w:t>
            </w:r>
          </w:p>
        </w:tc>
      </w:tr>
      <w:tr w:rsidR="00DF1928" w14:paraId="4CB5E577" w14:textId="77777777">
        <w:tc>
          <w:tcPr>
            <w:tcW w:w="3312" w:type="dxa"/>
          </w:tcPr>
          <w:p w14:paraId="0E2EFF48" w14:textId="77777777" w:rsidR="00DF1928" w:rsidRDefault="00140E73">
            <w:pPr>
              <w:rPr>
                <w:rFonts w:hint="eastAsia"/>
              </w:rPr>
            </w:pPr>
            <w:r>
              <w:rPr>
                <w:sz w:val="20"/>
              </w:rPr>
              <w:t>1D</w:t>
            </w:r>
          </w:p>
        </w:tc>
        <w:tc>
          <w:tcPr>
            <w:tcW w:w="3312" w:type="dxa"/>
          </w:tcPr>
          <w:p w14:paraId="3C0427E7" w14:textId="77777777" w:rsidR="00DF1928" w:rsidRDefault="00140E73">
            <w:pPr>
              <w:rPr>
                <w:rFonts w:hint="eastAsia"/>
              </w:rPr>
            </w:pPr>
            <w:r>
              <w:rPr>
                <w:sz w:val="20"/>
              </w:rPr>
              <w:t>`v</w:t>
            </w:r>
            <w:r>
              <w:rPr>
                <w:sz w:val="20"/>
              </w:rPr>
              <w:t>ᵢ</w:t>
            </w:r>
            <w:r>
              <w:rPr>
                <w:sz w:val="20"/>
              </w:rPr>
              <w:t>`</w:t>
            </w:r>
          </w:p>
        </w:tc>
        <w:tc>
          <w:tcPr>
            <w:tcW w:w="3312" w:type="dxa"/>
          </w:tcPr>
          <w:p w14:paraId="067B8BFC" w14:textId="77777777" w:rsidR="00DF1928" w:rsidRDefault="00140E73">
            <w:pPr>
              <w:rPr>
                <w:rFonts w:hint="eastAsia"/>
              </w:rPr>
            </w:pPr>
            <w:r>
              <w:rPr>
                <w:sz w:val="20"/>
              </w:rPr>
              <w:t>IQ as a single directional capacity</w:t>
            </w:r>
          </w:p>
        </w:tc>
      </w:tr>
      <w:tr w:rsidR="00DF1928" w14:paraId="11C4A70D" w14:textId="77777777">
        <w:tc>
          <w:tcPr>
            <w:tcW w:w="3312" w:type="dxa"/>
          </w:tcPr>
          <w:p w14:paraId="7930D26E" w14:textId="77777777" w:rsidR="00DF1928" w:rsidRDefault="00140E73">
            <w:pPr>
              <w:rPr>
                <w:rFonts w:hint="eastAsia"/>
              </w:rPr>
            </w:pPr>
            <w:r>
              <w:rPr>
                <w:sz w:val="20"/>
              </w:rPr>
              <w:t>2D</w:t>
            </w:r>
          </w:p>
        </w:tc>
        <w:tc>
          <w:tcPr>
            <w:tcW w:w="3312" w:type="dxa"/>
          </w:tcPr>
          <w:p w14:paraId="6105BBBF" w14:textId="77777777" w:rsidR="00DF1928" w:rsidRDefault="00140E73">
            <w:pPr>
              <w:rPr>
                <w:rFonts w:hint="eastAsia"/>
              </w:rPr>
            </w:pPr>
            <w:r>
              <w:rPr>
                <w:sz w:val="20"/>
              </w:rPr>
              <w:t>`A</w:t>
            </w:r>
            <w:r>
              <w:rPr>
                <w:sz w:val="20"/>
              </w:rPr>
              <w:t>ᵢⱼ</w:t>
            </w:r>
            <w:r>
              <w:rPr>
                <w:sz w:val="20"/>
              </w:rPr>
              <w:t>`</w:t>
            </w:r>
          </w:p>
        </w:tc>
        <w:tc>
          <w:tcPr>
            <w:tcW w:w="3312" w:type="dxa"/>
          </w:tcPr>
          <w:p w14:paraId="34007CE8" w14:textId="77777777" w:rsidR="00DF1928" w:rsidRDefault="00140E73">
            <w:pPr>
              <w:rPr>
                <w:rFonts w:hint="eastAsia"/>
              </w:rPr>
            </w:pPr>
            <w:r>
              <w:rPr>
                <w:sz w:val="20"/>
              </w:rPr>
              <w:t>IQ and EQ as a relational/environmental field</w:t>
            </w:r>
          </w:p>
        </w:tc>
      </w:tr>
      <w:tr w:rsidR="00DF1928" w14:paraId="6DF32CE0" w14:textId="77777777">
        <w:tc>
          <w:tcPr>
            <w:tcW w:w="3312" w:type="dxa"/>
          </w:tcPr>
          <w:p w14:paraId="40495E3C" w14:textId="77777777" w:rsidR="00DF1928" w:rsidRDefault="00140E73">
            <w:pPr>
              <w:rPr>
                <w:rFonts w:hint="eastAsia"/>
              </w:rPr>
            </w:pPr>
            <w:r>
              <w:rPr>
                <w:sz w:val="20"/>
              </w:rPr>
              <w:t>3D+</w:t>
            </w:r>
          </w:p>
        </w:tc>
        <w:tc>
          <w:tcPr>
            <w:tcW w:w="3312" w:type="dxa"/>
          </w:tcPr>
          <w:p w14:paraId="59B10CB2" w14:textId="77777777" w:rsidR="00DF1928" w:rsidRDefault="00140E73">
            <w:pPr>
              <w:rPr>
                <w:rFonts w:hint="eastAsia"/>
              </w:rPr>
            </w:pPr>
            <w:r>
              <w:rPr>
                <w:sz w:val="20"/>
              </w:rPr>
              <w:t>`T</w:t>
            </w:r>
            <w:r>
              <w:rPr>
                <w:sz w:val="20"/>
              </w:rPr>
              <w:t>ᵢⱼ</w:t>
            </w:r>
            <w:r>
              <w:rPr>
                <w:sz w:val="20"/>
              </w:rPr>
              <w:t>ₖ</w:t>
            </w:r>
            <w:r>
              <w:rPr>
                <w:sz w:val="20"/>
              </w:rPr>
              <w:t>`</w:t>
            </w:r>
          </w:p>
        </w:tc>
        <w:tc>
          <w:tcPr>
            <w:tcW w:w="3312" w:type="dxa"/>
          </w:tcPr>
          <w:p w14:paraId="7840EDE4" w14:textId="77777777" w:rsidR="00DF1928" w:rsidRDefault="00140E73">
            <w:pPr>
              <w:rPr>
                <w:rFonts w:hint="eastAsia"/>
              </w:rPr>
            </w:pPr>
            <w:r>
              <w:rPr>
                <w:sz w:val="20"/>
              </w:rPr>
              <w:t>IQ, EQ, and CQ as an integrated capacity tensor</w:t>
            </w:r>
          </w:p>
        </w:tc>
      </w:tr>
    </w:tbl>
    <w:p w14:paraId="250D808B" w14:textId="77777777" w:rsidR="00DF1928" w:rsidRDefault="00DF1928">
      <w:pPr>
        <w:rPr>
          <w:rFonts w:hint="eastAsia"/>
        </w:rPr>
      </w:pPr>
    </w:p>
    <w:p w14:paraId="12090F05" w14:textId="77777777" w:rsidR="00DF1928" w:rsidRDefault="00140E73">
      <w:pPr>
        <w:rPr>
          <w:rFonts w:hint="eastAsia"/>
        </w:rPr>
      </w:pPr>
      <w:r>
        <w:t xml:space="preserve">The operator </w:t>
      </w:r>
      <w:r>
        <w:rPr>
          <w:rFonts w:ascii="Courier New" w:hAnsi="Courier New"/>
        </w:rPr>
        <w:t>⊗</w:t>
      </w:r>
      <w:r>
        <w:t xml:space="preserve"> denotes synergistic fusion, not simple addition. The result is an emergent human capability that can envision, connect, decide, create, and build across a system.</w:t>
      </w:r>
    </w:p>
    <w:p w14:paraId="0091E0FA" w14:textId="77777777" w:rsidR="00DF1928" w:rsidRDefault="00140E73">
      <w:pPr>
        <w:rPr>
          <w:rFonts w:hint="eastAsia"/>
        </w:rPr>
      </w:pPr>
      <w:r>
        <w:t xml:space="preserve">In ordinary mathematics, a tensor’s rank has a precise technical meaning and does not by itself imply that every entry is non-zero. The framework’s collapse rule is therefore a </w:t>
      </w:r>
      <w:r>
        <w:rPr>
          <w:b/>
        </w:rPr>
        <w:t>model-level axiom</w:t>
      </w:r>
      <w:r>
        <w:t>: it specifies how Human Quotient capacity is interpreted within this architecture.</w:t>
      </w:r>
    </w:p>
    <w:p w14:paraId="77708619" w14:textId="77777777" w:rsidR="00DF1928" w:rsidRDefault="00140E73">
      <w:pPr>
        <w:pStyle w:val="Heading1"/>
      </w:pPr>
      <w:r>
        <w:t>4. The collapse rule and the machine boundary</w:t>
      </w:r>
    </w:p>
    <w:p w14:paraId="32D55E87" w14:textId="77777777" w:rsidR="00DF1928" w:rsidRDefault="00140E73">
      <w:pPr>
        <w:rPr>
          <w:rFonts w:hint="eastAsia"/>
        </w:rPr>
      </w:pPr>
      <w:r>
        <w:t>If any required ICE component is absent from the integrated human vector, the model treats the resulting Human Quotient volume as collapsed. In the framework’s stated application, an AI system operating without a human operator does not independently constitute the whole human vector. Therefore:</w:t>
      </w:r>
    </w:p>
    <w:p w14:paraId="3E982035" w14:textId="77777777" w:rsidR="00DF1928" w:rsidRDefault="00140E73">
      <w:pPr>
        <w:pStyle w:val="IntenseQuote"/>
        <w:rPr>
          <w:rFonts w:hint="eastAsia"/>
        </w:rPr>
      </w:pPr>
      <w:r>
        <w:t>HQ₍AI-alone₎ = 0 within the Human Quotient model.</w:t>
      </w:r>
    </w:p>
    <w:p w14:paraId="6D186FD0" w14:textId="77777777" w:rsidR="00DF1928" w:rsidRDefault="00140E73">
      <w:pPr>
        <w:rPr>
          <w:rFonts w:hint="eastAsia"/>
        </w:rPr>
      </w:pPr>
      <w:r>
        <w:t xml:space="preserve">This is not a claim that a machine cannot calculate, generate, classify, or produce outputs. It is a boundary statement about </w:t>
      </w:r>
      <w:r>
        <w:rPr>
          <w:b/>
        </w:rPr>
        <w:t>human dominion</w:t>
      </w:r>
      <w:r>
        <w:t>: machine intelligence alone does not become the human subject, the source of civilisational purpose, or the legitimate sovereign of the system.</w:t>
      </w:r>
    </w:p>
    <w:p w14:paraId="5D86613E" w14:textId="77777777" w:rsidR="00DF1928" w:rsidRDefault="00140E73">
      <w:pPr>
        <w:rPr>
          <w:rFonts w:hint="eastAsia"/>
        </w:rPr>
      </w:pPr>
      <w:r>
        <w:t>A human–AI dyad is different. When a human remains the operator in the loop, machine intelligence may amplify computation, memory, reach, persistence, and coordination. The amplification belongs to the integrated human–machine system; it does not erase the human source of agency, judgement, purpose, and accountability.</w:t>
      </w:r>
    </w:p>
    <w:p w14:paraId="074D69E8" w14:textId="77777777" w:rsidR="00DF1928" w:rsidRDefault="00140E73">
      <w:pPr>
        <w:pStyle w:val="Heading1"/>
      </w:pPr>
      <w:r>
        <w:t>5. The Human-in-the-Loop Dominion Principle</w:t>
      </w:r>
    </w:p>
    <w:p w14:paraId="3FE4AFB7" w14:textId="77777777" w:rsidR="00DF1928" w:rsidRDefault="00140E73">
      <w:pPr>
        <w:pStyle w:val="IntenseQuote"/>
        <w:rPr>
          <w:rFonts w:hint="eastAsia"/>
        </w:rPr>
      </w:pPr>
      <w:r>
        <w:t>Human-in-the-Loop Dominion Principle:</w:t>
      </w:r>
      <w:r>
        <w:t xml:space="preserve"> Machine intelligence may extend human capacity, but human dominion is retained only when a human operator remains continuously present as the source of agency, judgement, purpose, and accountable decision-making.</w:t>
      </w:r>
    </w:p>
    <w:p w14:paraId="4335CF6E" w14:textId="77777777" w:rsidR="00DF1928" w:rsidRDefault="00140E73">
      <w:pPr>
        <w:rPr>
          <w:rFonts w:hint="eastAsia"/>
        </w:rPr>
      </w:pPr>
      <w:r>
        <w:t>The principle has four consequences. First, the machine is an instrument or infrastructure layer, not the autonomous owner of the civilisational objective. Second, the human operator must be identifiable and accountable. Third, the system must preserve a traceable path from human intention to machine action and back to human review. Fourth, a successful technical connection cannot be confused with a transfer of sovereignty.</w:t>
      </w:r>
    </w:p>
    <w:p w14:paraId="02638189" w14:textId="77777777" w:rsidR="00DF1928" w:rsidRDefault="00140E73">
      <w:pPr>
        <w:rPr>
          <w:rFonts w:hint="eastAsia"/>
        </w:rPr>
      </w:pPr>
      <w:r>
        <w:t>The human-in-the-loop is therefore not an optional safety feature added after construction. It is the condition that prevents the integrated system from losing human dominion to machine intelligence.</w:t>
      </w:r>
    </w:p>
    <w:p w14:paraId="3E6D1EB1" w14:textId="77777777" w:rsidR="00DF1928" w:rsidRDefault="00140E73">
      <w:pPr>
        <w:pStyle w:val="Heading1"/>
      </w:pPr>
      <w:r>
        <w:t>6. The iCU 0/1 docking gate</w:t>
      </w:r>
    </w:p>
    <w:p w14:paraId="7B3F2F70" w14:textId="77777777" w:rsidR="00DF1928" w:rsidRDefault="00140E73">
      <w:pPr>
        <w:rPr>
          <w:rFonts w:hint="eastAsia"/>
        </w:rPr>
      </w:pPr>
      <w:r>
        <w:t xml:space="preserve">The </w:t>
      </w:r>
      <w:r>
        <w:rPr>
          <w:b/>
        </w:rPr>
        <w:t>iCU</w:t>
      </w:r>
      <w:r>
        <w:t xml:space="preserve"> is the docking point between the human operator and machine infrastructure. It is the narrow interface at which human consciousness, intention, and capacity become addressable within a machine-supported system. In the visual architecture it is represented as the </w:t>
      </w:r>
      <w:r>
        <w:rPr>
          <w:b/>
        </w:rPr>
        <w:t>0/1 gateway</w:t>
      </w:r>
      <w:r>
        <w:t xml:space="preserve"> and the transition into the system node.</w:t>
      </w:r>
    </w:p>
    <w:p w14:paraId="420BC2F0" w14:textId="77777777" w:rsidR="00DF1928" w:rsidRDefault="00140E73">
      <w:pPr>
        <w:rPr>
          <w:rFonts w:hint="eastAsia"/>
        </w:rPr>
      </w:pPr>
      <w:r>
        <w:t xml:space="preserve">Let </w:t>
      </w:r>
      <w:r>
        <w:rPr>
          <w:rFonts w:ascii="Courier New" w:hAnsi="Courier New"/>
        </w:rPr>
        <w:t>T</w:t>
      </w:r>
      <w:r>
        <w:rPr>
          <w:rFonts w:ascii="Courier New" w:hAnsi="Courier New"/>
        </w:rPr>
        <w:t>ᵢⱼ</w:t>
      </w:r>
      <w:r>
        <w:rPr>
          <w:rFonts w:ascii="Courier New" w:hAnsi="Courier New"/>
        </w:rPr>
        <w:t>ₖ</w:t>
      </w:r>
      <w:r>
        <w:t xml:space="preserve"> represent the ICE tensor and </w:t>
      </w:r>
      <w:r>
        <w:rPr>
          <w:rFonts w:ascii="Courier New" w:hAnsi="Courier New"/>
        </w:rPr>
        <w:t>M</w:t>
      </w:r>
      <w:r>
        <w:t xml:space="preserve"> represent the machine infrastructure. The interface status is written:</w:t>
      </w:r>
    </w:p>
    <w:p w14:paraId="58425690" w14:textId="77777777" w:rsidR="00DF1928" w:rsidRDefault="00140E73">
      <w:pPr>
        <w:pStyle w:val="IntenseQuote"/>
        <w:rPr>
          <w:rFonts w:hint="eastAsia"/>
        </w:rPr>
      </w:pPr>
      <w:r>
        <w:t>iCU(T, M; Who, When) ∈ {0, 1}</w:t>
      </w:r>
    </w:p>
    <w:p w14:paraId="03FFC94D" w14:textId="77777777" w:rsidR="00DF1928" w:rsidRDefault="00140E73">
      <w:pPr>
        <w:rPr>
          <w:rFonts w:hint="eastAsia"/>
        </w:rPr>
      </w:pPr>
      <w:r>
        <w:t xml:space="preserve">Here, </w:t>
      </w:r>
      <w:r>
        <w:rPr>
          <w:b/>
        </w:rPr>
        <w:t>0</w:t>
      </w:r>
      <w:r>
        <w:t xml:space="preserve"> means that no valid human–machine dock has been established. The system may still process signals, but the framework does not recognise a governed human loop. </w:t>
      </w:r>
      <w:r>
        <w:rPr>
          <w:b/>
        </w:rPr>
        <w:t>1</w:t>
      </w:r>
      <w:r>
        <w:t xml:space="preserve"> means that the human operator and machine infrastructure are connected through a recognised, attributable, and reviewable interface.</w:t>
      </w:r>
    </w:p>
    <w:p w14:paraId="06DA5389" w14:textId="77777777" w:rsidR="00DF1928" w:rsidRDefault="00140E73">
      <w:pPr>
        <w:rPr>
          <w:rFonts w:hint="eastAsia"/>
        </w:rPr>
      </w:pPr>
      <w:r>
        <w:t xml:space="preserve">The iCU is not a fourth tensor axis. IQ, EQ, and CQ describe the internal structure of human capacity. The iCU tests whether that capacity is legitimately connected to machine infrastructure. </w:t>
      </w:r>
      <w:r>
        <w:rPr>
          <w:b/>
        </w:rPr>
        <w:t>Who</w:t>
      </w:r>
      <w:r>
        <w:t xml:space="preserve"> identifies the operator and </w:t>
      </w:r>
      <w:r>
        <w:rPr>
          <w:b/>
        </w:rPr>
        <w:t>When</w:t>
      </w:r>
      <w:r>
        <w:t xml:space="preserve"> identifies the temporal context; both enter at the interface and governance layer rather than becoming additional ICE dimensions.</w:t>
      </w:r>
    </w:p>
    <w:p w14:paraId="00C369F8" w14:textId="77777777" w:rsidR="00DF1928" w:rsidRDefault="00140E73">
      <w:pPr>
        <w:rPr>
          <w:rFonts w:hint="eastAsia"/>
        </w:rPr>
      </w:pPr>
      <w:r>
        <w:t>The 1-state does not authorise autonomous machine dominion. It confirms a live docking condition in which the human remains responsible for direction, interpretation, and accountable control.</w:t>
      </w:r>
    </w:p>
    <w:p w14:paraId="63C4EF3C" w14:textId="77777777" w:rsidR="00DF1928" w:rsidRDefault="00140E73">
      <w:pPr>
        <w:pStyle w:val="Heading1"/>
      </w:pPr>
      <w:r>
        <w:t>7. From the iCU to the relay system</w:t>
      </w:r>
    </w:p>
    <w:p w14:paraId="151ACE15" w14:textId="77777777" w:rsidR="00DF1928" w:rsidRDefault="00140E73">
      <w:pPr>
        <w:rPr>
          <w:rFonts w:hint="eastAsia"/>
        </w:rPr>
      </w:pPr>
      <w:r>
        <w:t>The iCU connects the individual tensor to the civilisational relay cone. The transition from R10 to R12 can be stated as follows.</w:t>
      </w:r>
    </w:p>
    <w:p w14:paraId="4060AF2E" w14:textId="77777777" w:rsidR="00DF1928" w:rsidRDefault="00140E73">
      <w:pPr>
        <w:rPr>
          <w:rFonts w:hint="eastAsia"/>
        </w:rPr>
      </w:pPr>
      <w:r>
        <w:rPr>
          <w:b/>
        </w:rPr>
        <w:t>R10 — integrated capability.</w:t>
      </w:r>
      <w:r>
        <w:t xml:space="preserve"> The operator’s ICE capacities are assembled into an actionable human capability or AAA triad. This is the point at which cognition, connection, and creation become a coherent operating capacity.</w:t>
      </w:r>
    </w:p>
    <w:p w14:paraId="582D505A" w14:textId="77777777" w:rsidR="00DF1928" w:rsidRDefault="00140E73">
      <w:pPr>
        <w:rPr>
          <w:rFonts w:hint="eastAsia"/>
        </w:rPr>
      </w:pPr>
      <w:r>
        <w:rPr>
          <w:b/>
        </w:rPr>
        <w:t>iCU — 0/1 docking.</w:t>
      </w:r>
      <w:r>
        <w:t xml:space="preserve"> The system checks whether the human capability is attributable, present, and connected to machine infrastructure through a governed interface. The dock is either absent (</w:t>
      </w:r>
      <w:r>
        <w:rPr>
          <w:rFonts w:ascii="Courier New" w:hAnsi="Courier New"/>
        </w:rPr>
        <w:t>0</w:t>
      </w:r>
      <w:r>
        <w:t>) or active (</w:t>
      </w:r>
      <w:r>
        <w:rPr>
          <w:rFonts w:ascii="Courier New" w:hAnsi="Courier New"/>
        </w:rPr>
        <w:t>1</w:t>
      </w:r>
      <w:r>
        <w:t>).</w:t>
      </w:r>
    </w:p>
    <w:p w14:paraId="5D7061F6" w14:textId="77777777" w:rsidR="00DF1928" w:rsidRDefault="00140E73">
      <w:pPr>
        <w:rPr>
          <w:rFonts w:hint="eastAsia"/>
        </w:rPr>
      </w:pPr>
      <w:r>
        <w:rPr>
          <w:b/>
        </w:rPr>
        <w:t>R11 — relay continuity and orbit.</w:t>
      </w:r>
      <w:r>
        <w:t xml:space="preserve"> Once docked, the capability can be carried through a relay structure with persistence, verification, and reach. Machine infrastructure may amplify the signal, but the human loop remains the governing source.</w:t>
      </w:r>
    </w:p>
    <w:p w14:paraId="3B6B0F55" w14:textId="77777777" w:rsidR="00DF1928" w:rsidRDefault="00140E73">
      <w:pPr>
        <w:rPr>
          <w:rFonts w:hint="eastAsia"/>
        </w:rPr>
      </w:pPr>
      <w:r>
        <w:rPr>
          <w:b/>
        </w:rPr>
        <w:t>R12 — human nodes.</w:t>
      </w:r>
      <w:r>
        <w:t xml:space="preserve"> The capability is distributed through human operators and connected nodes. The output is not a machine empire replacing humanity; it is a civilisational network in which human nodes retain agency while infrastructure multiplies continuity.</w:t>
      </w:r>
    </w:p>
    <w:p w14:paraId="1537F81D" w14:textId="77777777" w:rsidR="00DF1928" w:rsidRDefault="00140E73">
      <w:pPr>
        <w:rPr>
          <w:rFonts w:hint="eastAsia"/>
        </w:rPr>
      </w:pPr>
      <w:r>
        <w:t>The architecture can therefore be summarised as:</w:t>
      </w:r>
    </w:p>
    <w:p w14:paraId="1F3627E9" w14:textId="77777777" w:rsidR="00DF1928" w:rsidRDefault="00140E73">
      <w:pPr>
        <w:pStyle w:val="IntenseQuote"/>
        <w:rPr>
          <w:rFonts w:hint="eastAsia"/>
        </w:rPr>
      </w:pPr>
      <w:r>
        <w:t>ICE tensor → Human Quotient → iCU 0/1 handshake → relay governance → Dearden Field → ISI and remembrance → networked human nodes</w:t>
      </w:r>
    </w:p>
    <w:p w14:paraId="7BA5D209" w14:textId="77777777" w:rsidR="00DF1928" w:rsidRDefault="00140E73">
      <w:pPr>
        <w:pStyle w:val="Heading1"/>
      </w:pPr>
      <w:r>
        <w:t>8. The What/How/Why core and the Who/When boundary</w:t>
      </w:r>
    </w:p>
    <w:p w14:paraId="23778C8C" w14:textId="77777777" w:rsidR="00DF1928" w:rsidRDefault="00140E73">
      <w:pPr>
        <w:rPr>
          <w:rFonts w:hint="eastAsia"/>
        </w:rPr>
      </w:pPr>
      <w:r>
        <w:rPr>
          <w:b/>
        </w:rPr>
        <w:t>What, How, and Why</w:t>
      </w:r>
      <w:r>
        <w:t xml:space="preserve"> form the internal core of the model. What identifies the capacity or object under consideration; How identifies the mechanism through which it operates; and Why identifies its purpose, meaning, or direction. These questions belong inside the structural interpretation of the vessel and its operation.</w:t>
      </w:r>
    </w:p>
    <w:p w14:paraId="3C579247" w14:textId="77777777" w:rsidR="00DF1928" w:rsidRDefault="00140E73">
      <w:pPr>
        <w:rPr>
          <w:rFonts w:hint="eastAsia"/>
        </w:rPr>
      </w:pPr>
      <w:r>
        <w:rPr>
          <w:b/>
        </w:rPr>
        <w:t>Who</w:t>
      </w:r>
      <w:r>
        <w:t xml:space="preserve"> and </w:t>
      </w:r>
      <w:r>
        <w:rPr>
          <w:b/>
        </w:rPr>
        <w:t>When</w:t>
      </w:r>
      <w:r>
        <w:t xml:space="preserve"> remain external context coordinates. Who identifies the subjective operator; When identifies the temporal position of the action. They are indispensable for governance and accountability, but they do not become additional axes of the core ICE tensor.</w:t>
      </w:r>
    </w:p>
    <w:p w14:paraId="06938936" w14:textId="77777777" w:rsidR="00DF1928" w:rsidRDefault="00140E73">
      <w:pPr>
        <w:rPr>
          <w:rFonts w:hint="eastAsia"/>
        </w:rPr>
      </w:pPr>
      <w:r>
        <w:t>The complete distinction is:</w:t>
      </w:r>
    </w:p>
    <w:p w14:paraId="650380CE" w14:textId="77777777" w:rsidR="00DF1928" w:rsidRDefault="00140E73">
      <w:pPr>
        <w:pStyle w:val="IntenseQuote"/>
        <w:rPr>
          <w:rFonts w:hint="eastAsia"/>
        </w:rPr>
      </w:pPr>
      <w:r>
        <w:t>HQ measures the mechanics of the vessel; Who and When identify the operator and the moment in which the vessel acts. The iCU is where those contextual coordinates are bound to the machine interface.</w:t>
      </w:r>
    </w:p>
    <w:p w14:paraId="527154C6" w14:textId="77777777" w:rsidR="00DF1928" w:rsidRDefault="00140E73">
      <w:pPr>
        <w:pStyle w:val="Heading1"/>
      </w:pPr>
      <w:r>
        <w:t>9. Operational connection to CSE and ISI</w:t>
      </w:r>
    </w:p>
    <w:p w14:paraId="60CE0605" w14:textId="77777777" w:rsidR="00DF1928" w:rsidRDefault="00140E73">
      <w:pPr>
        <w:rPr>
          <w:rFonts w:hint="eastAsia"/>
        </w:rPr>
      </w:pPr>
      <w:r>
        <w:t>Civilisational Systems Engineering supplies the outer application layer. It maps human development through the Civilisational Relays, measures infrastructure survival and significance through ISI, and treats remembrance and resistance as forces that can be engineered and tested.[1] The Human-in-the-Loop Dominion Principle supplies the governance condition for that application: the infrastructure must amplify human capability without displacing human agency.</w:t>
      </w:r>
    </w:p>
    <w:p w14:paraId="5AC9E2B4" w14:textId="77777777" w:rsidR="00DF1928" w:rsidRDefault="00140E73">
      <w:pPr>
        <w:rPr>
          <w:rFonts w:hint="eastAsia"/>
        </w:rPr>
      </w:pPr>
      <w:r>
        <w:t>The Academy’s live framework identifies the 4Rs—Revelation, Resilience, Regeneration, and Recursion—as remembrance forces, and the 4Cs—Conflict, Contagion, Climate, and Cost—as resistance forces.[1] The Memorial’s live framework places the Human Quotient and ISI together, making the human operator the source whose integrated capacity is carried through the infrastructure system.[2]</w:t>
      </w:r>
    </w:p>
    <w:p w14:paraId="0E0AFB05" w14:textId="77777777" w:rsidR="00DF1928" w:rsidRDefault="00140E73">
      <w:pPr>
        <w:pStyle w:val="Heading1"/>
      </w:pPr>
      <w:r>
        <w:t>10. Canonical implementation rules</w:t>
      </w:r>
    </w:p>
    <w:p w14:paraId="564CAA4F" w14:textId="77777777" w:rsidR="00DF1928" w:rsidRDefault="00140E73">
      <w:pPr>
        <w:rPr>
          <w:rFonts w:hint="eastAsia"/>
        </w:rPr>
      </w:pPr>
      <w:r>
        <w:t xml:space="preserve">Use </w:t>
      </w:r>
      <w:r>
        <w:rPr>
          <w:b/>
        </w:rPr>
        <w:t>Human Quotient (HQ/H)</w:t>
      </w:r>
      <w:r>
        <w:t xml:space="preserve"> as the current term. Use </w:t>
      </w:r>
      <w:r>
        <w:rPr>
          <w:b/>
        </w:rPr>
        <w:t>IQ ⊗ EQ ⊗ CQ</w:t>
      </w:r>
      <w:r>
        <w:t xml:space="preserve"> for the core relationship. Treat </w:t>
      </w:r>
      <w:r>
        <w:rPr>
          <w:rFonts w:ascii="Courier New" w:hAnsi="Courier New"/>
        </w:rPr>
        <w:t>⊗</w:t>
      </w:r>
      <w:r>
        <w:t xml:space="preserve"> as synergistic fusion. Treat the iCU as the 0/1 human–machine docking gate, not as a fourth axis. Keep </w:t>
      </w:r>
      <w:r>
        <w:rPr>
          <w:b/>
        </w:rPr>
        <w:t>Who</w:t>
      </w:r>
      <w:r>
        <w:t xml:space="preserve"> and </w:t>
      </w:r>
      <w:r>
        <w:rPr>
          <w:b/>
        </w:rPr>
        <w:t>When</w:t>
      </w:r>
      <w:r>
        <w:t xml:space="preserve"> in the identity, time, and governance layer. Treat AI alone as incomplete within the HQ model, while recognising that a human–AI dyad can amplify the integrated system when the human remains in the loop. Preserve a traceable return path from machine output to human review, because technical connection without accountable human agency is not human dominion.</w:t>
      </w:r>
    </w:p>
    <w:p w14:paraId="562E7B14" w14:textId="77777777" w:rsidR="00DF1928" w:rsidRDefault="00140E73">
      <w:pPr>
        <w:pStyle w:val="Heading1"/>
      </w:pPr>
      <w:r>
        <w:t>References</w:t>
      </w:r>
    </w:p>
    <w:p w14:paraId="50349B10" w14:textId="77777777" w:rsidR="00DF1928" w:rsidRDefault="00140E73">
      <w:pPr>
        <w:pStyle w:val="ListNumber"/>
        <w:rPr>
          <w:rFonts w:hint="eastAsia"/>
        </w:rPr>
      </w:pPr>
      <w:r>
        <w:t>[1] [Infrastructure Academy of Artificial Intelligence — live landing page](https://www.infrastructure-academy.com/)</w:t>
      </w:r>
    </w:p>
    <w:p w14:paraId="0D2D84C4" w14:textId="77777777" w:rsidR="00DF1928" w:rsidRDefault="00140E73">
      <w:pPr>
        <w:pStyle w:val="ListNumber"/>
        <w:rPr>
          <w:rFonts w:hint="eastAsia"/>
        </w:rPr>
      </w:pPr>
      <w:r>
        <w:t>[2] [Nigel Memorial — live landing page](https://nigelmemorial-ucmtq9dn.manus.space/)</w:t>
      </w:r>
    </w:p>
    <w:p w14:paraId="264AFF6A" w14:textId="77777777" w:rsidR="00DF1928" w:rsidRDefault="00140E73">
      <w:pPr>
        <w:pStyle w:val="ListNumber"/>
        <w:rPr>
          <w:rFonts w:hint="eastAsia"/>
        </w:rPr>
      </w:pPr>
      <w:r>
        <w:t>[3] [Nigel Memorial — The Equation](https://nigelmemorial-ucmtq9dn.manus.space/quotient)</w:t>
      </w:r>
    </w:p>
    <w:p w14:paraId="26353F6E" w14:textId="77777777" w:rsidR="00DF1928" w:rsidRDefault="00140E73">
      <w:pPr>
        <w:pStyle w:val="ListNumber"/>
        <w:rPr>
          <w:rFonts w:hint="eastAsia"/>
        </w:rPr>
      </w:pPr>
      <w:r>
        <w:t>[4] [Infrastructure Academy — Golden Excel archive](https://github.com/Infrastructure-Academy/infra-acad003/blob/main/docs/resources/files/GE-ISI_Master_v2_25Aug26.xlsx)</w:t>
      </w:r>
    </w:p>
    <w:sectPr w:rsidR="00DF192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613768">
    <w:abstractNumId w:val="8"/>
  </w:num>
  <w:num w:numId="2" w16cid:durableId="2001153757">
    <w:abstractNumId w:val="6"/>
  </w:num>
  <w:num w:numId="3" w16cid:durableId="1625695729">
    <w:abstractNumId w:val="5"/>
  </w:num>
  <w:num w:numId="4" w16cid:durableId="1987974319">
    <w:abstractNumId w:val="4"/>
  </w:num>
  <w:num w:numId="5" w16cid:durableId="291985585">
    <w:abstractNumId w:val="7"/>
  </w:num>
  <w:num w:numId="6" w16cid:durableId="1748261832">
    <w:abstractNumId w:val="3"/>
  </w:num>
  <w:num w:numId="7" w16cid:durableId="647244919">
    <w:abstractNumId w:val="2"/>
  </w:num>
  <w:num w:numId="8" w16cid:durableId="1657958308">
    <w:abstractNumId w:val="1"/>
  </w:num>
  <w:num w:numId="9" w16cid:durableId="2765265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E73"/>
    <w:rsid w:val="0015074B"/>
    <w:rsid w:val="0029639D"/>
    <w:rsid w:val="00326F90"/>
    <w:rsid w:val="003437BD"/>
    <w:rsid w:val="00AA1D8D"/>
    <w:rsid w:val="00B47730"/>
    <w:rsid w:val="00CB0664"/>
    <w:rsid w:val="00DF1928"/>
    <w:rsid w:val="00F92D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43EF3"/>
  <w14:defaultImageDpi w14:val="300"/>
  <w15:docId w15:val="{B69930A7-A7BB-FA48-8A08-6706C82F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1578</Words>
  <Characters>8996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Quotient, ICE Capacity, and the Human-in-the-Loop Dominion Principle</dc:title>
  <dc:subject>Foundational framework outline</dc:subject>
  <dc:creator>Manus AI</dc:creator>
  <cp:keywords/>
  <dc:description>generated by python-docx</dc:description>
  <cp:lastModifiedBy>Nigel Dearden</cp:lastModifiedBy>
  <cp:revision>2</cp:revision>
  <dcterms:created xsi:type="dcterms:W3CDTF">2026-08-25T05:59:00Z</dcterms:created>
  <dcterms:modified xsi:type="dcterms:W3CDTF">2026-08-25T05:59:00Z</dcterms:modified>
  <cp:category/>
</cp:coreProperties>
</file>