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ystem-model-of-the-forch-corridor"/>
    <w:p>
      <w:pPr>
        <w:pStyle w:val="Heading1"/>
      </w:pPr>
      <w:r>
        <w:t xml:space="preserve">1 System model of the Forch corridor</w:t>
      </w:r>
    </w:p>
    <w:bookmarkStart w:id="20" w:name="model-and-boundary"/>
    <w:p>
      <w:pPr>
        <w:pStyle w:val="Heading2"/>
      </w:pPr>
      <w:r>
        <w:t xml:space="preserve">Model and boundary</w:t>
      </w:r>
    </w:p>
    <w:p>
      <w:pPr>
        <w:pStyle w:val="FirstParagraph"/>
      </w:pPr>
      <w:r>
        <w:t xml:space="preserve">The course's four-step model covers the canton of Zürich (1,223 NPVM zones) for the weekday evening peak, 17:00-18:00. Generation and distribution come fixed from the NPVM matrix; a five-option logit (car, PT with walk or bike access, bike, walk) and an MSA/BPR road assignment run coupled until the road gap is under 2 %. Assignment runs on a reduced network around our corridor, with external zones attached to gates.</w:t>
      </w:r>
    </w:p>
    <w:bookmarkEnd w:id="20"/>
    <w:bookmarkStart w:id="24" w:name="corridor"/>
    <w:p>
      <w:pPr>
        <w:pStyle w:val="Heading2"/>
      </w:pPr>
      <w:r>
        <w:t xml:space="preserve">Corridor</w:t>
      </w:r>
    </w:p>
    <w:p>
      <w:pPr>
        <w:pStyle w:val="FirstParagraph"/>
      </w:pPr>
      <w:r>
        <w:t xml:space="preserve">The corridor is the Forchbahn catchment: the course's 70 city zones along the S18. Every zone of Zollikon, Zumikon, Küsnacht, Maur and Egg nearer to a Forchbahn station than to any other rail station, all zones within 1.5 km of Forch station. Plus Fällanden and Dübendorf: 125 zones, 143,285 residents (Figure 1.2). Without Fällanden and Dübendorf the cordon cut the northern city and loaded the Glattal onto residential streets. Of five variants compared, this is the smallest that keeps the Forch catchment, fits the city-edge counts no worse and removes that jam. Of seven gate settings, a cap of 60 gates at 500 m is the smallest that gates every gateable major road crossing, with delay within 4.7 % of the next larger set.</w:t>
      </w:r>
    </w:p>
    <w:p>
      <w:pPr>
        <w:pStyle w:val="CaptionedFigure"/>
        <w:keepNext/>
        <w:jc w:val="center"/>
      </w:pPr>
      <w:r>
        <w:drawing>
          <wp:inline>
            <wp:extent cx="4314825" cy="3947987"/>
            <wp:effectExtent b="0" l="0" r="0" t="0"/>
            <wp:docPr descr="Figure 1.2. Forch corridor V-b: 125 configured zones in 9 reporting regions, the 500 m cordon buffer, the 57 gates and the Forchbahn stops. Coordinates in m, EPSG:2056. Sources: zones.parquet, GTFS 2026 (course archive), OSM extract of 2026-10-09; tools/build_forch_corridor.py." title="" id="22" name="Picture"/>
            <a:graphic>
              <a:graphicData uri="http://schemas.openxmlformats.org/drawingml/2006/picture">
                <pic:pic>
                  <pic:nvPicPr>
                    <pic:cNvPr descr="figures/s1_3_corridor_map.png" id="23" name="Picture"/>
                    <pic:cNvPicPr>
                      <a:picLocks noChangeArrowheads="1" noChangeAspect="1"/>
                    </pic:cNvPicPr>
                  </pic:nvPicPr>
                  <pic:blipFill>
                    <a:blip r:embed="rId21"/>
                    <a:stretch>
                      <a:fillRect/>
                    </a:stretch>
                  </pic:blipFill>
                  <pic:spPr bwMode="auto">
                    <a:xfrm>
                      <a:off x="0" y="0"/>
                      <a:ext cx="4314825" cy="3947987"/>
                    </a:xfrm>
                    <a:prstGeom prst="rect">
                      <a:avLst/>
                    </a:prstGeom>
                    <a:noFill/>
                    <a:ln w="9525">
                      <a:noFill/>
                      <a:headEnd/>
                      <a:tailEnd/>
                    </a:ln>
                  </pic:spPr>
                </pic:pic>
              </a:graphicData>
            </a:graphic>
          </wp:inline>
        </w:drawing>
      </w:r>
    </w:p>
    <w:p>
      <w:pPr>
        <w:pStyle w:val="ImageCaption"/>
      </w:pPr>
      <w:r>
        <w:t xml:space="preserve">Figure 1.2. Forch corridor V-b: 125 configured zones in 9 reporting regions, the 500 m cordon buffer, the 57 gates and the Forchbahn stops. Coordinates in m, EPSG:2056. Sources: zones.parquet, GTFS 2026 (course archive), OSM extract of 2026-10-09; tools/build_forch_corridor.py.</w:t>
      </w:r>
    </w:p>
    <w:bookmarkEnd w:id="24"/>
    <w:bookmarkStart w:id="25" w:name="demand"/>
    <w:p>
      <w:pPr>
        <w:pStyle w:val="Heading2"/>
      </w:pPr>
      <w:r>
        <w:t xml:space="preserve">Demand</w:t>
      </w:r>
    </w:p>
    <w:p>
      <w:pPr>
        <w:pStyle w:val="FirstParagraph"/>
      </w:pPr>
      <w:r>
        <w:t xml:space="preserve">The cordon retains 184,126 trips in the peak hour. 169,621 with at least one end inside plus the assumed pass-through. 44 % internal, 24 % inbound, 24 % outbound and 8 % pass-through (the assumed 5 % of trips between two outside zones). The Forch relations are small: 42 trips from Zürich centre to the hub area and 39 back. The matrix is nearly symmetric because the course built it as the NPVM average-weekday matrix times a peak share per mode; counts at the city edge show 58 % of the real evening traffic leaving the city. The appraisal's 5,000 people in the 1.5 km catchment match the hub area's 4,990 residents; daily trips per resident there are 30 % below the cantonal survey.</w:t>
      </w:r>
    </w:p>
    <w:bookmarkEnd w:id="25"/>
    <w:bookmarkStart w:id="26" w:name="Xec921899a73a854cc99c5714a2193d8f7e151ae"/>
    <w:p>
      <w:pPr>
        <w:pStyle w:val="Heading2"/>
        <w:keepNext/>
      </w:pPr>
      <w:r>
        <w:t xml:space="preserve">Modal split, Stage 0, before congestion feedback</w:t>
      </w:r>
    </w:p>
    <w:tbl>
      <w:tblPr>
        <w:tblStyle w:val="Table"/>
        <w:jc w:val="center"/>
        <w:tblLook w:firstRow="1" w:lastRow="0" w:firstColumn="0" w:lastColumn="0" w:noHBand="0" w:noVBand="0" w:val="0020"/>
        <w:tblW w:w="5000" w:type="pct"/>
        <w:tblBorders>
          <w:top w:val="single" w:sz="4" w:color="A6B4C2"/>
          <w:left w:val="single" w:sz="4" w:color="A6B4C2"/>
          <w:bottom w:val="single" w:sz="4" w:color="A6B4C2"/>
          <w:right w:val="single" w:sz="4" w:color="A6B4C2"/>
          <w:insideH w:val="single" w:sz="4" w:color="A6B4C2"/>
          <w:insideV w:val="single" w:sz="4" w:color="A6B4C2"/>
        </w:tblBorders>
      </w:tblPr>
      <w:tblGrid>
        <w:gridCol w:w="2066"/>
        <w:gridCol w:w="2251"/>
        <w:gridCol w:w="1907"/>
        <w:gridCol w:w="2845"/>
      </w:tblGrid>
      <w:tr>
        <w:trPr>
          <w:tblHeader w:val="true"/>
          <w:tblHeader w:val="true"/>
        </w:trPr>
        <w:tc>
          <w:tcPr>
            <w:tcW w:w="2066" w:type="dxa"/>
            <w:shd w:val="clear" w:color="auto" w:fill="D9E2EC"/>
          </w:tcPr>
          <w:p>
            <w:pPr>
              <w:pStyle w:val="Compact"/>
              <w:keepNext/>
              <w:spacing w:after="20" w:before="20" w:line="240" w:lineRule="auto"/>
              <w:jc w:val="left"/>
            </w:pPr>
            <w:r>
              <w:rPr>
                <w:b/>
                <w:sz w:val="20"/>
              </w:rPr>
              <w:t xml:space="preserve">Mode</w:t>
            </w:r>
          </w:p>
        </w:tc>
        <w:tc>
          <w:tcPr>
            <w:tcW w:w="2251" w:type="dxa"/>
            <w:shd w:val="clear" w:color="auto" w:fill="D9E2EC"/>
          </w:tcPr>
          <w:p>
            <w:pPr>
              <w:pStyle w:val="Compact"/>
              <w:keepNext/>
              <w:spacing w:after="20" w:before="20" w:line="240" w:lineRule="auto"/>
              <w:jc w:val="left"/>
            </w:pPr>
            <w:r>
              <w:rPr>
                <w:b/>
                <w:sz w:val="20"/>
              </w:rPr>
              <w:t xml:space="preserve">Trips (peak hour)</w:t>
            </w:r>
          </w:p>
        </w:tc>
        <w:tc>
          <w:tcPr>
            <w:tcW w:w="1907" w:type="dxa"/>
            <w:shd w:val="clear" w:color="auto" w:fill="D9E2EC"/>
          </w:tcPr>
          <w:p>
            <w:pPr>
              <w:pStyle w:val="Compact"/>
              <w:keepNext/>
              <w:spacing w:after="20" w:before="20" w:line="240" w:lineRule="auto"/>
              <w:jc w:val="left"/>
            </w:pPr>
            <w:r>
              <w:rPr>
                <w:b/>
                <w:sz w:val="20"/>
              </w:rPr>
              <w:t xml:space="preserve">Trip share</w:t>
            </w:r>
          </w:p>
        </w:tc>
        <w:tc>
          <w:tcPr>
            <w:tcW w:w="2845" w:type="dxa"/>
            <w:shd w:val="clear" w:color="auto" w:fill="D9E2EC"/>
          </w:tcPr>
          <w:p>
            <w:pPr>
              <w:pStyle w:val="Compact"/>
              <w:keepNext/>
              <w:spacing w:after="20" w:before="20" w:line="240" w:lineRule="auto"/>
              <w:jc w:val="left"/>
            </w:pPr>
            <w:r>
              <w:rPr>
                <w:b/>
                <w:sz w:val="20"/>
              </w:rPr>
              <w:t xml:space="preserve">PKM share, trips &gt;= 5 km (headline)</w:t>
            </w:r>
          </w:p>
        </w:tc>
      </w:tr>
      <w:tr>
        <w:tc>
          <w:tcPr>
            <w:tcW w:w="2066" w:type="dxa"/>
          </w:tcPr>
          <w:p>
            <w:pPr>
              <w:pStyle w:val="Compact"/>
              <w:keepNext/>
              <w:spacing w:after="20" w:before="20" w:line="240" w:lineRule="auto"/>
              <w:jc w:val="left"/>
            </w:pPr>
            <w:r>
              <w:rPr>
                <w:sz w:val="20"/>
              </w:rPr>
              <w:t xml:space="preserve">Car</w:t>
            </w:r>
          </w:p>
        </w:tc>
        <w:tc>
          <w:tcPr>
            <w:tcW w:w="2251" w:type="dxa"/>
          </w:tcPr>
          <w:p>
            <w:pPr>
              <w:pStyle w:val="Compact"/>
              <w:keepNext/>
              <w:spacing w:after="20" w:before="20" w:line="240" w:lineRule="auto"/>
              <w:jc w:val="right"/>
            </w:pPr>
            <w:r>
              <w:rPr>
                <w:sz w:val="20"/>
              </w:rPr>
              <w:t xml:space="preserve">56,871</w:t>
            </w:r>
          </w:p>
        </w:tc>
        <w:tc>
          <w:tcPr>
            <w:tcW w:w="1907" w:type="dxa"/>
          </w:tcPr>
          <w:p>
            <w:pPr>
              <w:pStyle w:val="Compact"/>
              <w:keepNext/>
              <w:spacing w:after="20" w:before="20" w:line="240" w:lineRule="auto"/>
              <w:jc w:val="right"/>
            </w:pPr>
            <w:r>
              <w:rPr>
                <w:sz w:val="20"/>
              </w:rPr>
              <w:t xml:space="preserve">33.5 %</w:t>
            </w:r>
          </w:p>
        </w:tc>
        <w:tc>
          <w:tcPr>
            <w:tcW w:w="2845" w:type="dxa"/>
          </w:tcPr>
          <w:p>
            <w:pPr>
              <w:pStyle w:val="Compact"/>
              <w:keepNext/>
              <w:spacing w:after="20" w:before="20" w:line="240" w:lineRule="auto"/>
              <w:jc w:val="right"/>
            </w:pPr>
            <w:r>
              <w:rPr>
                <w:sz w:val="20"/>
              </w:rPr>
              <w:t xml:space="preserve">67.6 %</w:t>
            </w:r>
          </w:p>
        </w:tc>
      </w:tr>
      <w:tr>
        <w:tc>
          <w:tcPr>
            <w:tcW w:w="2066" w:type="dxa"/>
          </w:tcPr>
          <w:p>
            <w:pPr>
              <w:pStyle w:val="Compact"/>
              <w:keepNext/>
              <w:spacing w:after="20" w:before="20" w:line="240" w:lineRule="auto"/>
              <w:jc w:val="left"/>
            </w:pPr>
            <w:r>
              <w:rPr>
                <w:sz w:val="20"/>
              </w:rPr>
              <w:t xml:space="preserve">PT (all)</w:t>
            </w:r>
          </w:p>
        </w:tc>
        <w:tc>
          <w:tcPr>
            <w:tcW w:w="2251" w:type="dxa"/>
          </w:tcPr>
          <w:p>
            <w:pPr>
              <w:pStyle w:val="Compact"/>
              <w:keepNext/>
              <w:spacing w:after="20" w:before="20" w:line="240" w:lineRule="auto"/>
              <w:jc w:val="right"/>
            </w:pPr>
            <w:r>
              <w:rPr>
                <w:sz w:val="20"/>
              </w:rPr>
              <w:t xml:space="preserve">34,209</w:t>
            </w:r>
          </w:p>
        </w:tc>
        <w:tc>
          <w:tcPr>
            <w:tcW w:w="1907" w:type="dxa"/>
          </w:tcPr>
          <w:p>
            <w:pPr>
              <w:pStyle w:val="Compact"/>
              <w:keepNext/>
              <w:spacing w:after="20" w:before="20" w:line="240" w:lineRule="auto"/>
              <w:jc w:val="right"/>
            </w:pPr>
            <w:r>
              <w:rPr>
                <w:sz w:val="20"/>
              </w:rPr>
              <w:t xml:space="preserve">20.2 %</w:t>
            </w:r>
          </w:p>
        </w:tc>
        <w:tc>
          <w:tcPr>
            <w:tcW w:w="2845" w:type="dxa"/>
          </w:tcPr>
          <w:p>
            <w:pPr>
              <w:pStyle w:val="Compact"/>
              <w:keepNext/>
              <w:spacing w:after="20" w:before="20" w:line="240" w:lineRule="auto"/>
              <w:jc w:val="right"/>
            </w:pPr>
            <w:r>
              <w:rPr>
                <w:sz w:val="20"/>
              </w:rPr>
              <w:t xml:space="preserve">24.6 %</w:t>
            </w:r>
          </w:p>
        </w:tc>
      </w:tr>
      <w:tr>
        <w:tc>
          <w:tcPr>
            <w:tcW w:w="2066" w:type="dxa"/>
          </w:tcPr>
          <w:p>
            <w:pPr>
              <w:pStyle w:val="Compact"/>
              <w:keepNext/>
              <w:spacing w:after="20" w:before="20" w:line="240" w:lineRule="auto"/>
              <w:jc w:val="left"/>
            </w:pPr>
            <w:r>
              <w:rPr>
                <w:sz w:val="20"/>
              </w:rPr>
              <w:t xml:space="preserve">PT-walk</w:t>
            </w:r>
          </w:p>
        </w:tc>
        <w:tc>
          <w:tcPr>
            <w:tcW w:w="2251" w:type="dxa"/>
          </w:tcPr>
          <w:p>
            <w:pPr>
              <w:pStyle w:val="Compact"/>
              <w:keepNext/>
              <w:spacing w:after="20" w:before="20" w:line="240" w:lineRule="auto"/>
              <w:jc w:val="right"/>
            </w:pPr>
            <w:r>
              <w:rPr>
                <w:sz w:val="20"/>
              </w:rPr>
              <w:t xml:space="preserve">25,072</w:t>
            </w:r>
          </w:p>
        </w:tc>
        <w:tc>
          <w:tcPr>
            <w:tcW w:w="1907" w:type="dxa"/>
          </w:tcPr>
          <w:p>
            <w:pPr>
              <w:pStyle w:val="Compact"/>
              <w:keepNext/>
              <w:spacing w:after="20" w:before="20" w:line="240" w:lineRule="auto"/>
              <w:jc w:val="right"/>
            </w:pPr>
            <w:r>
              <w:rPr>
                <w:sz w:val="20"/>
              </w:rPr>
              <w:t xml:space="preserve">14.8 %</w:t>
            </w:r>
          </w:p>
        </w:tc>
        <w:tc>
          <w:tcPr>
            <w:tcW w:w="2845" w:type="dxa"/>
          </w:tcPr>
          <w:p>
            <w:pPr>
              <w:pStyle w:val="Compact"/>
              <w:keepNext/>
              <w:spacing w:after="20" w:before="20" w:line="240" w:lineRule="auto"/>
              <w:jc w:val="right"/>
            </w:pPr>
            <w:r>
              <w:rPr>
                <w:sz w:val="20"/>
              </w:rPr>
              <w:t xml:space="preserve">15.7 %</w:t>
            </w:r>
          </w:p>
        </w:tc>
      </w:tr>
      <w:tr>
        <w:tc>
          <w:tcPr>
            <w:tcW w:w="2066" w:type="dxa"/>
          </w:tcPr>
          <w:p>
            <w:pPr>
              <w:pStyle w:val="Compact"/>
              <w:keepNext/>
              <w:spacing w:after="20" w:before="20" w:line="240" w:lineRule="auto"/>
              <w:jc w:val="left"/>
            </w:pPr>
            <w:r>
              <w:rPr>
                <w:sz w:val="20"/>
              </w:rPr>
              <w:t xml:space="preserve">PT-bike</w:t>
            </w:r>
          </w:p>
        </w:tc>
        <w:tc>
          <w:tcPr>
            <w:tcW w:w="2251" w:type="dxa"/>
          </w:tcPr>
          <w:p>
            <w:pPr>
              <w:pStyle w:val="Compact"/>
              <w:keepNext/>
              <w:spacing w:after="20" w:before="20" w:line="240" w:lineRule="auto"/>
              <w:jc w:val="right"/>
            </w:pPr>
            <w:r>
              <w:rPr>
                <w:sz w:val="20"/>
              </w:rPr>
              <w:t xml:space="preserve">9,138</w:t>
            </w:r>
          </w:p>
        </w:tc>
        <w:tc>
          <w:tcPr>
            <w:tcW w:w="1907" w:type="dxa"/>
          </w:tcPr>
          <w:p>
            <w:pPr>
              <w:pStyle w:val="Compact"/>
              <w:keepNext/>
              <w:spacing w:after="20" w:before="20" w:line="240" w:lineRule="auto"/>
              <w:jc w:val="right"/>
            </w:pPr>
            <w:r>
              <w:rPr>
                <w:sz w:val="20"/>
              </w:rPr>
              <w:t xml:space="preserve">5.4 %</w:t>
            </w:r>
          </w:p>
        </w:tc>
        <w:tc>
          <w:tcPr>
            <w:tcW w:w="2845" w:type="dxa"/>
          </w:tcPr>
          <w:p>
            <w:pPr>
              <w:pStyle w:val="Compact"/>
              <w:keepNext/>
              <w:spacing w:after="20" w:before="20" w:line="240" w:lineRule="auto"/>
              <w:jc w:val="right"/>
            </w:pPr>
            <w:r>
              <w:rPr>
                <w:sz w:val="20"/>
              </w:rPr>
              <w:t xml:space="preserve">8.9 %</w:t>
            </w:r>
          </w:p>
        </w:tc>
      </w:tr>
      <w:tr>
        <w:tc>
          <w:tcPr>
            <w:tcW w:w="2066" w:type="dxa"/>
          </w:tcPr>
          <w:p>
            <w:pPr>
              <w:pStyle w:val="Compact"/>
              <w:keepNext/>
              <w:spacing w:after="20" w:before="20" w:line="240" w:lineRule="auto"/>
              <w:jc w:val="left"/>
            </w:pPr>
            <w:r>
              <w:rPr>
                <w:sz w:val="20"/>
              </w:rPr>
              <w:t xml:space="preserve">Bike</w:t>
            </w:r>
          </w:p>
        </w:tc>
        <w:tc>
          <w:tcPr>
            <w:tcW w:w="2251" w:type="dxa"/>
          </w:tcPr>
          <w:p>
            <w:pPr>
              <w:pStyle w:val="Compact"/>
              <w:keepNext/>
              <w:spacing w:after="20" w:before="20" w:line="240" w:lineRule="auto"/>
              <w:jc w:val="right"/>
            </w:pPr>
            <w:r>
              <w:rPr>
                <w:sz w:val="20"/>
              </w:rPr>
              <w:t xml:space="preserve">24,584</w:t>
            </w:r>
          </w:p>
        </w:tc>
        <w:tc>
          <w:tcPr>
            <w:tcW w:w="1907" w:type="dxa"/>
          </w:tcPr>
          <w:p>
            <w:pPr>
              <w:pStyle w:val="Compact"/>
              <w:keepNext/>
              <w:spacing w:after="20" w:before="20" w:line="240" w:lineRule="auto"/>
              <w:jc w:val="right"/>
            </w:pPr>
            <w:r>
              <w:rPr>
                <w:sz w:val="20"/>
              </w:rPr>
              <w:t xml:space="preserve">14.5 %</w:t>
            </w:r>
          </w:p>
        </w:tc>
        <w:tc>
          <w:tcPr>
            <w:tcW w:w="2845" w:type="dxa"/>
          </w:tcPr>
          <w:p>
            <w:pPr>
              <w:pStyle w:val="Compact"/>
              <w:keepNext/>
              <w:spacing w:after="20" w:before="20" w:line="240" w:lineRule="auto"/>
              <w:jc w:val="right"/>
            </w:pPr>
            <w:r>
              <w:rPr>
                <w:sz w:val="20"/>
              </w:rPr>
              <w:t xml:space="preserve">6.1 %</w:t>
            </w:r>
          </w:p>
        </w:tc>
      </w:tr>
      <w:tr>
        <w:tc>
          <w:tcPr>
            <w:tcW w:w="2066" w:type="dxa"/>
          </w:tcPr>
          <w:p>
            <w:pPr>
              <w:pStyle w:val="Compact"/>
              <w:keepNext/>
              <w:spacing w:after="20" w:before="20" w:line="240" w:lineRule="auto"/>
              <w:jc w:val="left"/>
            </w:pPr>
            <w:r>
              <w:rPr>
                <w:sz w:val="20"/>
              </w:rPr>
              <w:t xml:space="preserve">Walk</w:t>
            </w:r>
          </w:p>
        </w:tc>
        <w:tc>
          <w:tcPr>
            <w:tcW w:w="2251" w:type="dxa"/>
          </w:tcPr>
          <w:p>
            <w:pPr>
              <w:pStyle w:val="Compact"/>
              <w:keepNext/>
              <w:spacing w:after="20" w:before="20" w:line="240" w:lineRule="auto"/>
              <w:jc w:val="right"/>
            </w:pPr>
            <w:r>
              <w:rPr>
                <w:sz w:val="20"/>
              </w:rPr>
              <w:t xml:space="preserve">53,956</w:t>
            </w:r>
          </w:p>
        </w:tc>
        <w:tc>
          <w:tcPr>
            <w:tcW w:w="1907" w:type="dxa"/>
          </w:tcPr>
          <w:p>
            <w:pPr>
              <w:pStyle w:val="Compact"/>
              <w:keepNext/>
              <w:spacing w:after="20" w:before="20" w:line="240" w:lineRule="auto"/>
              <w:jc w:val="right"/>
            </w:pPr>
            <w:r>
              <w:rPr>
                <w:sz w:val="20"/>
              </w:rPr>
              <w:t xml:space="preserve">31.8 %</w:t>
            </w:r>
          </w:p>
        </w:tc>
        <w:tc>
          <w:tcPr>
            <w:tcW w:w="2845" w:type="dxa"/>
          </w:tcPr>
          <w:p>
            <w:pPr>
              <w:pStyle w:val="Compact"/>
              <w:keepNext/>
              <w:spacing w:after="20" w:before="20" w:line="240" w:lineRule="auto"/>
              <w:jc w:val="right"/>
            </w:pPr>
            <w:r>
              <w:rPr>
                <w:sz w:val="20"/>
              </w:rPr>
              <w:t xml:space="preserve">1.7 %</w:t>
            </w:r>
          </w:p>
        </w:tc>
      </w:tr>
      <w:tr>
        <w:tc>
          <w:tcPr>
            <w:tcW w:w="2066" w:type="dxa"/>
          </w:tcPr>
          <w:p>
            <w:pPr>
              <w:pStyle w:val="Compact"/>
              <w:keepNext w:val="0"/>
              <w:spacing w:after="20" w:before="20" w:line="240" w:lineRule="auto"/>
              <w:jc w:val="left"/>
            </w:pPr>
            <w:r>
              <w:rPr>
                <w:sz w:val="20"/>
              </w:rPr>
              <w:t xml:space="preserve">Total</w:t>
            </w:r>
          </w:p>
        </w:tc>
        <w:tc>
          <w:tcPr>
            <w:tcW w:w="2251" w:type="dxa"/>
          </w:tcPr>
          <w:p>
            <w:pPr>
              <w:pStyle w:val="Compact"/>
              <w:keepNext w:val="0"/>
              <w:spacing w:after="20" w:before="20" w:line="240" w:lineRule="auto"/>
              <w:jc w:val="right"/>
            </w:pPr>
            <w:r>
              <w:rPr>
                <w:sz w:val="20"/>
              </w:rPr>
              <w:t xml:space="preserve">169,621</w:t>
            </w:r>
          </w:p>
        </w:tc>
        <w:tc>
          <w:tcPr>
            <w:tcW w:w="1907" w:type="dxa"/>
          </w:tcPr>
          <w:p>
            <w:pPr>
              <w:pStyle w:val="Compact"/>
              <w:keepNext w:val="0"/>
              <w:spacing w:after="20" w:before="20" w:line="240" w:lineRule="auto"/>
              <w:jc w:val="right"/>
            </w:pPr>
            <w:r>
              <w:rPr>
                <w:sz w:val="20"/>
              </w:rPr>
              <w:t xml:space="preserve">100.0 %</w:t>
            </w:r>
          </w:p>
        </w:tc>
        <w:tc>
          <w:tcPr>
            <w:tcW w:w="2845" w:type="dxa"/>
          </w:tcPr>
          <w:p>
            <w:pPr>
              <w:pStyle w:val="Compact"/>
              <w:keepNext w:val="0"/>
              <w:spacing w:after="20" w:before="20" w:line="240" w:lineRule="auto"/>
              <w:jc w:val="right"/>
            </w:pPr>
            <w:r>
              <w:rPr>
                <w:sz w:val="20"/>
              </w:rPr>
              <w:t xml:space="preserve">100.0 %</w:t>
            </w:r>
          </w:p>
        </w:tc>
      </w:tr>
    </w:tbl>
    <w:p>
      <w:pPr>
        <w:pStyle w:val="BodyText"/>
      </w:pPr>
      <w:r>
        <w:t xml:space="preserve">The car carries 34 % of trips but 68 % of PKM over 5 km, because its trips are long. The 5 km filter stays: 3-5 km trips between the hub area and Zumikon, Egg or Maur are only 7.2 % of the hub area's motorised trips. In the hub area itself the car share is 52 % of trips. On a daily basis the NPVM's car and PT distance shares are within 6 points of the cantonal survey; bike and walk distance is overstated because it is measured on the road network.</w:t>
      </w:r>
    </w:p>
    <w:bookmarkEnd w:id="26"/>
    <w:bookmarkStart w:id="27" w:name="assignment"/>
    <w:p>
      <w:pPr>
        <w:pStyle w:val="Heading2"/>
      </w:pPr>
      <w:r>
        <w:t xml:space="preserve">Assignment</w:t>
      </w:r>
    </w:p>
    <w:p>
      <w:pPr>
        <w:pStyle w:val="FirstParagraph"/>
      </w:pPr>
      <w:r>
        <w:t xml:space="preserve">All runs reach the 2 % road gap (the coupled run after 28 iterations). Feeding congestion back into mode choice lowers delay from 56,899 to 6,012 veh-h and the car trip share from 33.5 % to 28.8 %, while PT rises from 20.2 % to 23.6 %.</w:t>
      </w:r>
    </w:p>
    <w:p>
      <w:pPr>
        <w:pStyle w:val="BodyText"/>
      </w:pPr>
      <w:r>
        <w:t xml:space="preserve">Total delay is 6,012 veh-h, of which 4,361 outside the city of Zürich; the worst link lies in Wallisellen (secondary, V/C 2.1). With the first corridor D1 the cordon cut the northern city and the delay was 46,785 veh-h, almost all on residential streets near Milchbuck. Against published daily volumes the model's peak flows on the Forchstrasse at Waldburg and on the A52 are 71 to 122 % too high, and at the four radial counters at the city edge the mean gap is 186 %. The model's PT ride from Stadelhofen to the zone of Forch station ends at Neue Forch and takes 14 min, 5 min less than the timetable's stopping trains.</w:t>
      </w:r>
    </w:p>
    <w:bookmarkEnd w:id="27"/>
    <w:bookmarkStart w:id="28" w:name="indicators-stage-0"/>
    <w:p>
      <w:pPr>
        <w:pStyle w:val="Heading2"/>
      </w:pPr>
      <w:r>
        <w:t xml:space="preserve">Indicators, Stage 0</w:t>
      </w:r>
    </w:p>
    <w:p>
      <w:pPr>
        <w:pStyle w:val="FirstParagraph"/>
        <w:keepNext/>
      </w:pPr>
      <w:r>
        <w:t xml:space="preserve">These come from coupled runs, so the shares differ from the modal split table above.</w:t>
      </w:r>
    </w:p>
    <w:tbl>
      <w:tblPr>
        <w:tblStyle w:val="Table"/>
        <w:jc w:val="center"/>
        <w:tblLook w:firstRow="1" w:lastRow="0" w:firstColumn="0" w:lastColumn="0" w:noHBand="0" w:noVBand="0" w:val="0020"/>
        <w:tblW w:w="5000" w:type="pct"/>
        <w:tblBorders>
          <w:top w:val="single" w:sz="4" w:color="A6B4C2"/>
          <w:left w:val="single" w:sz="4" w:color="A6B4C2"/>
          <w:bottom w:val="single" w:sz="4" w:color="A6B4C2"/>
          <w:right w:val="single" w:sz="4" w:color="A6B4C2"/>
          <w:insideH w:val="single" w:sz="4" w:color="A6B4C2"/>
          <w:insideV w:val="single" w:sz="4" w:color="A6B4C2"/>
        </w:tblBorders>
      </w:tblPr>
      <w:tblGrid>
        <w:gridCol w:w="2283"/>
        <w:gridCol w:w="1129"/>
        <w:gridCol w:w="1165"/>
        <w:gridCol w:w="1165"/>
        <w:gridCol w:w="1066"/>
        <w:gridCol w:w="1051"/>
        <w:gridCol w:w="1209"/>
      </w:tblGrid>
      <w:tr>
        <w:trPr>
          <w:tblHeader w:val="true"/>
          <w:tblHeader w:val="true"/>
        </w:trPr>
        <w:tc>
          <w:tcPr>
            <w:tcW w:w="2283" w:type="dxa"/>
            <w:shd w:val="clear" w:color="auto" w:fill="D9E2EC"/>
          </w:tcPr>
          <w:p>
            <w:pPr>
              <w:pStyle w:val="Compact"/>
              <w:keepNext/>
              <w:spacing w:after="20" w:before="20" w:line="240" w:lineRule="auto"/>
              <w:jc w:val="left"/>
            </w:pPr>
            <w:r>
              <w:rPr>
                <w:b/>
                <w:sz w:val="18"/>
              </w:rPr>
              <w:t xml:space="preserve">Indicator</w:t>
            </w:r>
          </w:p>
        </w:tc>
        <w:tc>
          <w:tcPr>
            <w:tcW w:w="1129" w:type="dxa"/>
            <w:shd w:val="clear" w:color="auto" w:fill="D9E2EC"/>
          </w:tcPr>
          <w:p>
            <w:pPr>
              <w:pStyle w:val="Compact"/>
              <w:keepNext/>
              <w:spacing w:after="20" w:before="20" w:line="240" w:lineRule="auto"/>
              <w:jc w:val="left"/>
            </w:pPr>
            <w:r>
              <w:rPr>
                <w:b/>
                <w:sz w:val="18"/>
              </w:rPr>
              <w:t xml:space="preserve">Unit</w:t>
            </w:r>
          </w:p>
        </w:tc>
        <w:tc>
          <w:tcPr>
            <w:tcW w:w="1165" w:type="dxa"/>
            <w:shd w:val="clear" w:color="auto" w:fill="D9E2EC"/>
          </w:tcPr>
          <w:p>
            <w:pPr>
              <w:pStyle w:val="Compact"/>
              <w:keepNext/>
              <w:spacing w:after="20" w:before="20" w:line="240" w:lineRule="auto"/>
              <w:jc w:val="left"/>
            </w:pPr>
            <w:r>
              <w:rPr>
                <w:b/>
                <w:sz w:val="18"/>
              </w:rPr>
              <w:t xml:space="preserve">Year 1</w:t>
            </w:r>
          </w:p>
        </w:tc>
        <w:tc>
          <w:tcPr>
            <w:tcW w:w="1165" w:type="dxa"/>
            <w:shd w:val="clear" w:color="auto" w:fill="D9E2EC"/>
          </w:tcPr>
          <w:p>
            <w:pPr>
              <w:pStyle w:val="Compact"/>
              <w:keepNext/>
              <w:spacing w:after="20" w:before="20" w:line="240" w:lineRule="auto"/>
              <w:jc w:val="left"/>
            </w:pPr>
            <w:r>
              <w:rPr>
                <w:b/>
                <w:sz w:val="18"/>
              </w:rPr>
              <w:t xml:space="preserve">Year 40</w:t>
            </w:r>
          </w:p>
        </w:tc>
        <w:tc>
          <w:tcPr>
            <w:tcW w:w="1066" w:type="dxa"/>
            <w:shd w:val="clear" w:color="auto" w:fill="D9E2EC"/>
          </w:tcPr>
          <w:p>
            <w:pPr>
              <w:pStyle w:val="Compact"/>
              <w:keepNext/>
              <w:spacing w:after="20" w:before="20" w:line="240" w:lineRule="auto"/>
              <w:jc w:val="left"/>
            </w:pPr>
            <w:r>
              <w:rPr>
                <w:b/>
                <w:sz w:val="18"/>
              </w:rPr>
              <w:t xml:space="preserve">Change</w:t>
            </w:r>
          </w:p>
        </w:tc>
        <w:tc>
          <w:tcPr>
            <w:tcW w:w="1051" w:type="dxa"/>
            <w:shd w:val="clear" w:color="auto" w:fill="D9E2EC"/>
          </w:tcPr>
          <w:p>
            <w:pPr>
              <w:pStyle w:val="Compact"/>
              <w:keepNext/>
              <w:spacing w:after="20" w:before="20" w:line="240" w:lineRule="auto"/>
              <w:jc w:val="left"/>
            </w:pPr>
            <w:r>
              <w:rPr>
                <w:b/>
                <w:sz w:val="18"/>
              </w:rPr>
              <w:t xml:space="preserve">Better</w:t>
            </w:r>
          </w:p>
        </w:tc>
        <w:tc>
          <w:tcPr>
            <w:tcW w:w="1209" w:type="dxa"/>
            <w:shd w:val="clear" w:color="auto" w:fill="D9E2EC"/>
          </w:tcPr>
          <w:p>
            <w:pPr>
              <w:pStyle w:val="Compact"/>
              <w:keepNext/>
              <w:spacing w:after="20" w:before="20" w:line="240" w:lineRule="auto"/>
              <w:jc w:val="left"/>
            </w:pPr>
            <w:r>
              <w:rPr>
                <w:b/>
                <w:sz w:val="18"/>
              </w:rPr>
              <w:t xml:space="preserve">Phase 1 outcome (5.3 table)</w:t>
            </w:r>
          </w:p>
        </w:tc>
      </w:tr>
      <w:tr>
        <w:tc>
          <w:tcPr>
            <w:tcW w:w="2283" w:type="dxa"/>
          </w:tcPr>
          <w:p>
            <w:pPr>
              <w:pStyle w:val="Compact"/>
              <w:keepNext/>
              <w:spacing w:after="20" w:before="20" w:line="240" w:lineRule="auto"/>
              <w:jc w:val="left"/>
            </w:pPr>
            <w:r>
              <w:rPr>
                <w:sz w:val="18"/>
              </w:rPr>
              <w:t xml:space="preserve">Mode-choice journey time</w:t>
            </w:r>
          </w:p>
        </w:tc>
        <w:tc>
          <w:tcPr>
            <w:tcW w:w="1129" w:type="dxa"/>
          </w:tcPr>
          <w:p>
            <w:pPr>
              <w:pStyle w:val="Compact"/>
              <w:keepNext/>
              <w:spacing w:after="20" w:before="20" w:line="240" w:lineRule="auto"/>
              <w:jc w:val="left"/>
            </w:pPr>
            <w:r>
              <w:rPr>
                <w:sz w:val="18"/>
              </w:rPr>
              <w:t xml:space="preserve">min per trip</w:t>
            </w:r>
          </w:p>
        </w:tc>
        <w:tc>
          <w:tcPr>
            <w:tcW w:w="1165" w:type="dxa"/>
          </w:tcPr>
          <w:p>
            <w:pPr>
              <w:pStyle w:val="Compact"/>
              <w:keepNext/>
              <w:spacing w:after="20" w:before="20" w:line="240" w:lineRule="auto"/>
              <w:jc w:val="right"/>
            </w:pPr>
            <w:r>
              <w:rPr>
                <w:sz w:val="18"/>
              </w:rPr>
              <w:t xml:space="preserve">21.3</w:t>
            </w:r>
          </w:p>
        </w:tc>
        <w:tc>
          <w:tcPr>
            <w:tcW w:w="1165" w:type="dxa"/>
          </w:tcPr>
          <w:p>
            <w:pPr>
              <w:pStyle w:val="Compact"/>
              <w:keepNext/>
              <w:spacing w:after="20" w:before="20" w:line="240" w:lineRule="auto"/>
              <w:jc w:val="right"/>
            </w:pPr>
            <w:r>
              <w:rPr>
                <w:sz w:val="18"/>
              </w:rPr>
              <w:t xml:space="preserve">21.1</w:t>
            </w:r>
          </w:p>
        </w:tc>
        <w:tc>
          <w:tcPr>
            <w:tcW w:w="1066" w:type="dxa"/>
          </w:tcPr>
          <w:p>
            <w:pPr>
              <w:pStyle w:val="Compact"/>
              <w:keepNext/>
              <w:spacing w:after="20" w:before="20" w:line="240" w:lineRule="auto"/>
              <w:jc w:val="right"/>
            </w:pPr>
            <w:r>
              <w:rPr>
                <w:sz w:val="18"/>
              </w:rPr>
              <w:t xml:space="preserve">-1.0 %</w:t>
            </w:r>
          </w:p>
        </w:tc>
        <w:tc>
          <w:tcPr>
            <w:tcW w:w="1051" w:type="dxa"/>
          </w:tcPr>
          <w:p>
            <w:pPr>
              <w:pStyle w:val="Compact"/>
              <w:keepNext/>
              <w:spacing w:after="20" w:before="20" w:line="240" w:lineRule="auto"/>
              <w:jc w:val="left"/>
            </w:pPr>
            <w:r>
              <w:rPr>
                <w:sz w:val="18"/>
              </w:rPr>
              <w:t xml:space="preserve">lower</w:t>
            </w:r>
          </w:p>
        </w:tc>
        <w:tc>
          <w:tcPr>
            <w:tcW w:w="1209" w:type="dxa"/>
          </w:tcPr>
          <w:p>
            <w:pPr>
              <w:pStyle w:val="Compact"/>
              <w:keepNext/>
              <w:spacing w:after="20" w:before="20" w:line="240" w:lineRule="auto"/>
              <w:jc w:val="left"/>
            </w:pPr>
            <w:r>
              <w:rPr>
                <w:sz w:val="18"/>
              </w:rPr>
              <w:t xml:space="preserve">#3</w:t>
            </w:r>
          </w:p>
        </w:tc>
      </w:tr>
      <w:tr>
        <w:tc>
          <w:tcPr>
            <w:tcW w:w="2283" w:type="dxa"/>
          </w:tcPr>
          <w:p>
            <w:pPr>
              <w:pStyle w:val="Compact"/>
              <w:keepNext/>
              <w:spacing w:after="20" w:before="20" w:line="240" w:lineRule="auto"/>
              <w:jc w:val="left"/>
            </w:pPr>
            <w:r>
              <w:rPr>
                <w:sz w:val="18"/>
              </w:rPr>
              <w:t xml:space="preserve">Road delay (vehicle-hours incl. background, cordon)</w:t>
            </w:r>
          </w:p>
        </w:tc>
        <w:tc>
          <w:tcPr>
            <w:tcW w:w="1129" w:type="dxa"/>
          </w:tcPr>
          <w:p>
            <w:pPr>
              <w:pStyle w:val="Compact"/>
              <w:keepNext/>
              <w:spacing w:after="20" w:before="20" w:line="240" w:lineRule="auto"/>
              <w:jc w:val="left"/>
            </w:pPr>
            <w:r>
              <w:rPr>
                <w:sz w:val="18"/>
              </w:rPr>
              <w:t xml:space="preserve">veh-h per peak hour</w:t>
            </w:r>
          </w:p>
        </w:tc>
        <w:tc>
          <w:tcPr>
            <w:tcW w:w="1165" w:type="dxa"/>
          </w:tcPr>
          <w:p>
            <w:pPr>
              <w:pStyle w:val="Compact"/>
              <w:keepNext/>
              <w:spacing w:after="20" w:before="20" w:line="240" w:lineRule="auto"/>
              <w:jc w:val="right"/>
            </w:pPr>
            <w:r>
              <w:rPr>
                <w:sz w:val="18"/>
              </w:rPr>
              <w:t xml:space="preserve">6,012</w:t>
            </w:r>
          </w:p>
        </w:tc>
        <w:tc>
          <w:tcPr>
            <w:tcW w:w="1165" w:type="dxa"/>
          </w:tcPr>
          <w:p>
            <w:pPr>
              <w:pStyle w:val="Compact"/>
              <w:keepNext/>
              <w:spacing w:after="20" w:before="20" w:line="240" w:lineRule="auto"/>
              <w:jc w:val="right"/>
            </w:pPr>
            <w:r>
              <w:rPr>
                <w:sz w:val="18"/>
              </w:rPr>
              <w:t xml:space="preserve">7,111</w:t>
            </w:r>
          </w:p>
        </w:tc>
        <w:tc>
          <w:tcPr>
            <w:tcW w:w="1066" w:type="dxa"/>
          </w:tcPr>
          <w:p>
            <w:pPr>
              <w:pStyle w:val="Compact"/>
              <w:keepNext/>
              <w:spacing w:after="20" w:before="20" w:line="240" w:lineRule="auto"/>
              <w:jc w:val="right"/>
            </w:pPr>
            <w:r>
              <w:rPr>
                <w:sz w:val="18"/>
              </w:rPr>
              <w:t xml:space="preserve">+18.3 %</w:t>
            </w:r>
          </w:p>
        </w:tc>
        <w:tc>
          <w:tcPr>
            <w:tcW w:w="1051" w:type="dxa"/>
          </w:tcPr>
          <w:p>
            <w:pPr>
              <w:pStyle w:val="Compact"/>
              <w:keepNext/>
              <w:spacing w:after="20" w:before="20" w:line="240" w:lineRule="auto"/>
              <w:jc w:val="left"/>
            </w:pPr>
            <w:r>
              <w:rPr>
                <w:sz w:val="18"/>
              </w:rPr>
              <w:t xml:space="preserve">lower</w:t>
            </w:r>
          </w:p>
        </w:tc>
        <w:tc>
          <w:tcPr>
            <w:tcW w:w="1209" w:type="dxa"/>
          </w:tcPr>
          <w:p>
            <w:pPr>
              <w:pStyle w:val="Compact"/>
              <w:keepNext/>
              <w:spacing w:after="20" w:before="20" w:line="240" w:lineRule="auto"/>
              <w:jc w:val="left"/>
            </w:pPr>
            <w:r>
              <w:rPr>
                <w:sz w:val="18"/>
              </w:rPr>
              <w:t xml:space="preserve">#5, #3</w:t>
            </w:r>
          </w:p>
        </w:tc>
      </w:tr>
      <w:tr>
        <w:tc>
          <w:tcPr>
            <w:tcW w:w="2283" w:type="dxa"/>
          </w:tcPr>
          <w:p>
            <w:pPr>
              <w:pStyle w:val="Compact"/>
              <w:keepNext/>
              <w:spacing w:after="20" w:before="20" w:line="240" w:lineRule="auto"/>
              <w:jc w:val="left"/>
            </w:pPr>
            <w:r>
              <w:rPr>
                <w:sz w:val="18"/>
              </w:rPr>
              <w:t xml:space="preserve">Car CO2</w:t>
            </w:r>
          </w:p>
        </w:tc>
        <w:tc>
          <w:tcPr>
            <w:tcW w:w="1129" w:type="dxa"/>
          </w:tcPr>
          <w:p>
            <w:pPr>
              <w:pStyle w:val="Compact"/>
              <w:keepNext/>
              <w:spacing w:after="20" w:before="20" w:line="240" w:lineRule="auto"/>
              <w:jc w:val="left"/>
            </w:pPr>
            <w:r>
              <w:rPr>
                <w:sz w:val="18"/>
              </w:rPr>
              <w:t xml:space="preserve">t CO2 per peak hour</w:t>
            </w:r>
          </w:p>
        </w:tc>
        <w:tc>
          <w:tcPr>
            <w:tcW w:w="1165" w:type="dxa"/>
          </w:tcPr>
          <w:p>
            <w:pPr>
              <w:pStyle w:val="Compact"/>
              <w:keepNext/>
              <w:spacing w:after="20" w:before="20" w:line="240" w:lineRule="auto"/>
              <w:jc w:val="right"/>
            </w:pPr>
            <w:r>
              <w:rPr>
                <w:sz w:val="18"/>
              </w:rPr>
              <w:t xml:space="preserve">56.6</w:t>
            </w:r>
          </w:p>
        </w:tc>
        <w:tc>
          <w:tcPr>
            <w:tcW w:w="1165" w:type="dxa"/>
          </w:tcPr>
          <w:p>
            <w:pPr>
              <w:pStyle w:val="Compact"/>
              <w:keepNext/>
              <w:spacing w:after="20" w:before="20" w:line="240" w:lineRule="auto"/>
              <w:jc w:val="right"/>
            </w:pPr>
            <w:r>
              <w:rPr>
                <w:sz w:val="18"/>
              </w:rPr>
              <w:t xml:space="preserve">22.5</w:t>
            </w:r>
          </w:p>
        </w:tc>
        <w:tc>
          <w:tcPr>
            <w:tcW w:w="1066" w:type="dxa"/>
          </w:tcPr>
          <w:p>
            <w:pPr>
              <w:pStyle w:val="Compact"/>
              <w:keepNext/>
              <w:spacing w:after="20" w:before="20" w:line="240" w:lineRule="auto"/>
              <w:jc w:val="right"/>
            </w:pPr>
            <w:r>
              <w:rPr>
                <w:sz w:val="18"/>
              </w:rPr>
              <w:t xml:space="preserve">-60.3 %</w:t>
            </w:r>
          </w:p>
        </w:tc>
        <w:tc>
          <w:tcPr>
            <w:tcW w:w="1051" w:type="dxa"/>
          </w:tcPr>
          <w:p>
            <w:pPr>
              <w:pStyle w:val="Compact"/>
              <w:keepNext/>
              <w:spacing w:after="20" w:before="20" w:line="240" w:lineRule="auto"/>
              <w:jc w:val="left"/>
            </w:pPr>
            <w:r>
              <w:rPr>
                <w:sz w:val="18"/>
              </w:rPr>
              <w:t xml:space="preserve">lower</w:t>
            </w:r>
          </w:p>
        </w:tc>
        <w:tc>
          <w:tcPr>
            <w:tcW w:w="1209" w:type="dxa"/>
          </w:tcPr>
          <w:p>
            <w:pPr>
              <w:pStyle w:val="Compact"/>
              <w:keepNext/>
              <w:spacing w:after="20" w:before="20" w:line="240" w:lineRule="auto"/>
              <w:jc w:val="left"/>
            </w:pPr>
            <w:r>
              <w:rPr>
                <w:sz w:val="18"/>
              </w:rPr>
              <w:t xml:space="preserve">#6</w:t>
            </w:r>
          </w:p>
        </w:tc>
      </w:tr>
      <w:tr>
        <w:tc>
          <w:tcPr>
            <w:tcW w:w="2283" w:type="dxa"/>
          </w:tcPr>
          <w:p>
            <w:pPr>
              <w:pStyle w:val="Compact"/>
              <w:keepNext w:val="0"/>
              <w:spacing w:after="20" w:before="20" w:line="240" w:lineRule="auto"/>
              <w:jc w:val="left"/>
            </w:pPr>
            <w:r>
              <w:rPr>
                <w:sz w:val="18"/>
              </w:rPr>
              <w:t xml:space="preserve">Trips (all modes)</w:t>
            </w:r>
          </w:p>
        </w:tc>
        <w:tc>
          <w:tcPr>
            <w:tcW w:w="1129" w:type="dxa"/>
          </w:tcPr>
          <w:p>
            <w:pPr>
              <w:pStyle w:val="Compact"/>
              <w:keepNext w:val="0"/>
              <w:spacing w:after="20" w:before="20" w:line="240" w:lineRule="auto"/>
              <w:jc w:val="left"/>
            </w:pPr>
            <w:r>
              <w:rPr>
                <w:sz w:val="18"/>
              </w:rPr>
              <w:t xml:space="preserve">trips per peak hour</w:t>
            </w:r>
          </w:p>
        </w:tc>
        <w:tc>
          <w:tcPr>
            <w:tcW w:w="1165" w:type="dxa"/>
          </w:tcPr>
          <w:p>
            <w:pPr>
              <w:pStyle w:val="Compact"/>
              <w:keepNext w:val="0"/>
              <w:spacing w:after="20" w:before="20" w:line="240" w:lineRule="auto"/>
              <w:jc w:val="right"/>
            </w:pPr>
            <w:r>
              <w:rPr>
                <w:sz w:val="18"/>
              </w:rPr>
              <w:t xml:space="preserve">169,621</w:t>
            </w:r>
          </w:p>
        </w:tc>
        <w:tc>
          <w:tcPr>
            <w:tcW w:w="1165" w:type="dxa"/>
          </w:tcPr>
          <w:p>
            <w:pPr>
              <w:pStyle w:val="Compact"/>
              <w:keepNext w:val="0"/>
              <w:spacing w:after="20" w:before="20" w:line="240" w:lineRule="auto"/>
              <w:jc w:val="right"/>
            </w:pPr>
            <w:r>
              <w:rPr>
                <w:sz w:val="18"/>
              </w:rPr>
              <w:t xml:space="preserve">203,545</w:t>
            </w:r>
          </w:p>
        </w:tc>
        <w:tc>
          <w:tcPr>
            <w:tcW w:w="1066" w:type="dxa"/>
          </w:tcPr>
          <w:p>
            <w:pPr>
              <w:pStyle w:val="Compact"/>
              <w:keepNext w:val="0"/>
              <w:spacing w:after="20" w:before="20" w:line="240" w:lineRule="auto"/>
              <w:jc w:val="right"/>
            </w:pPr>
            <w:r>
              <w:rPr>
                <w:sz w:val="18"/>
              </w:rPr>
              <w:t xml:space="preserve">+20.0 %</w:t>
            </w:r>
          </w:p>
        </w:tc>
        <w:tc>
          <w:tcPr>
            <w:tcW w:w="1051" w:type="dxa"/>
          </w:tcPr>
          <w:p>
            <w:pPr>
              <w:pStyle w:val="Compact"/>
              <w:keepNext w:val="0"/>
              <w:spacing w:after="20" w:before="20" w:line="240" w:lineRule="auto"/>
              <w:jc w:val="left"/>
            </w:pPr>
            <w:r>
              <w:rPr>
                <w:sz w:val="18"/>
              </w:rPr>
              <w:t xml:space="preserve">demand</w:t>
            </w:r>
          </w:p>
        </w:tc>
        <w:tc>
          <w:tcPr>
            <w:tcW w:w="1209" w:type="dxa"/>
          </w:tcPr>
          <w:p>
            <w:pPr>
              <w:pStyle w:val="Compact"/>
              <w:keepNext w:val="0"/>
              <w:spacing w:after="20" w:before="20" w:line="240" w:lineRule="auto"/>
              <w:jc w:val="left"/>
            </w:pPr>
            <w:r>
              <w:rPr>
                <w:sz w:val="18"/>
              </w:rPr>
              <w:t xml:space="preserve">#2</w:t>
            </w:r>
          </w:p>
        </w:tc>
      </w:tr>
    </w:tbl>
    <w:p>
      <w:pPr>
        <w:pStyle w:val="BodyText"/>
      </w:pPr>
      <w:r>
        <w:t xml:space="preserve">Year 40 adds 20 % demand: delay rises by 18 % (less than demand, because the car share falls at the same time), CO2 falls with the assumed fleet, and journey time falls slightly as trips shift to faster e-bikes and PT. Lower is better for time, delay, CO2 and car shares, higher for PT shares; they map to our Phase 1 outcomes on modal split, travel time, car traffic and emissions. Because the corridor totals mix the city with the Forch side, we add the hub-area shares and the delay outside the city (4,361 veh-h in Year 1) as Forch indicators.</w:t>
      </w:r>
    </w:p>
    <w:bookmarkEnd w:id="28"/>
    <w:bookmarkStart w:id="29" w:name="what-the-model-cannot-show-at-forch"/>
    <w:p>
      <w:pPr>
        <w:pStyle w:val="Heading2"/>
      </w:pPr>
      <w:r>
        <w:t xml:space="preserve">What the model cannot show at Forch</w:t>
      </w:r>
    </w:p>
    <w:p>
      <w:pPr>
        <w:numPr>
          <w:ilvl w:val="0"/>
          <w:numId w:val="1001"/>
        </w:numPr>
        <w:pStyle w:val="Compact"/>
      </w:pPr>
      <w:r>
        <w:t xml:space="preserve">The evening rush. The "peak-hour" matrix is a scaled daily matrix, so it has no homebound direction; directional effects of the hub are outside the model.</w:t>
      </w:r>
    </w:p>
    <w:p>
      <w:pPr>
        <w:numPr>
          <w:ilvl w:val="0"/>
          <w:numId w:val="1001"/>
        </w:numPr>
        <w:pStyle w:val="Compact"/>
      </w:pPr>
      <w:r>
        <w:t xml:space="preserve">People driving to Forch station and parking there: mode choice has no park-and-ride option. Walking and cycling to a station are in the model, but the zones around Forch are large and each may only use a short list of stops near its centroid (Forch station is on it for one of the four hub-area zones), so the model sends their PT trips to Maiacher, Neue Forch, Scheuren or a bus stop: only 6 PT trips an hour between Zürich and the Pfannenstiel use Forch station in Stage 0.</w:t>
      </w:r>
    </w:p>
    <w:p>
      <w:pPr>
        <w:numPr>
          <w:ilvl w:val="0"/>
          <w:numId w:val="1001"/>
        </w:numPr>
        <w:pStyle w:val="Compact"/>
      </w:pPr>
      <w:r>
        <w:t xml:space="preserve">Measured road volumes. Modelled peak flows on the Forch roads are well above the counts, partly because one national peak share is applied to a saturated road, the course adds an uplift to car and background traffic, and the road assignment lets flows exceed capacity. Read V/C above 1 there as "busy".</w:t>
      </w:r>
    </w:p>
    <w:p>
      <w:pPr>
        <w:numPr>
          <w:ilvl w:val="0"/>
          <w:numId w:val="1001"/>
        </w:numPr>
        <w:pStyle w:val="Compact"/>
      </w:pPr>
      <w:r>
        <w:t xml:space="preserve">Two Pfannenstiel zones cannot be left by car in the prepared network, and one has no PT path.</w:t>
      </w:r>
    </w:p>
    <w:bookmarkEnd w:id="29"/>
    <w:bookmarkEnd w:id="3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Calibri" w:hAnsi="Calibri"/>
      <w:sz w:val="22"/>
    </w:rPr>
  </w:style>
  <w:style w:styleId="BodyText" w:type="paragraph">
    <w:name w:val="Body Text"/>
    <w:basedOn w:val="Normal"/>
    <w:link w:val="BodyTextChar"/>
    <w:pPr>
      <w:spacing w:after="180" w:before="180" w:line="276" w:lineRule="auto"/>
    </w:pPr>
    <w:qFormat/>
    <w:rPr>
      <w:rFonts w:ascii="Calibri" w:hAnsi="Calibri"/>
      <w:sz w:val="22"/>
    </w:rPr>
  </w:style>
  <w:style w:customStyle="1" w:styleId="FirstParagraph" w:type="paragraph">
    <w:name w:val="First Paragraph"/>
    <w:basedOn w:val="BodyText"/>
    <w:next w:val="BodyText"/>
    <w:qFormat/>
    <w:pPr>
      <w:spacing w:line="276" w:lineRule="auto"/>
    </w:pPr>
    <w:rPr>
      <w:rFonts w:ascii="Calibri" w:hAnsi="Calibri"/>
      <w:sz w:val="22"/>
    </w:rPr>
  </w:style>
  <w:style w:customStyle="1" w:styleId="Compact" w:type="paragraph">
    <w:name w:val="Compact"/>
    <w:basedOn w:val="BodyText"/>
    <w:qFormat/>
    <w:pPr>
      <w:spacing w:after="36" w:before="36" w:line="276" w:lineRule="auto"/>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276" w:lineRule="auto"/>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i/>
      <w:sz w:val="19"/>
    </w:rPr>
  </w:style>
  <w:style w:customStyle="1" w:styleId="TableCaption" w:type="paragraph">
    <w:name w:val="Table Caption"/>
    <w:basedOn w:val="Caption"/>
    <w:pPr>
      <w:keepNext/>
    </w:pPr>
    <w:rPr>
      <w:rFonts w:ascii="Calibri" w:hAnsi="Calibri"/>
      <w:i/>
      <w:sz w:val="19"/>
    </w:rPr>
  </w:style>
  <w:style w:customStyle="1" w:styleId="ImageCaption" w:type="paragraph">
    <w:name w:val="Image Caption"/>
    <w:basedOn w:val="Caption"/>
    <w:rPr>
      <w:rFonts w:ascii="Calibri" w:hAnsi="Calibri"/>
      <w:i/>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2026-10-14T13:23:56Z</dcterms:created>
  <dcterms:modified xsi:type="dcterms:W3CDTF">2026-10-14T13:23:56Z</dcterms:modified>
</cp:coreProperties>
</file>

<file path=docProps/custom.xml><?xml version="1.0" encoding="utf-8"?>
<Properties xmlns="http://schemas.openxmlformats.org/officeDocument/2006/custom-properties" xmlns:vt="http://schemas.openxmlformats.org/officeDocument/2006/docPropsVTypes"/>
</file>