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Matriz de análisis crítico de justicia restaurativa en violencia sexual</w:t>
      </w:r>
    </w:p>
    <w:p>
      <w:pPr>
        <w:pStyle w:val="Subtitle"/>
      </w:pPr>
      <w:r>
        <w:t>Enfoque reforzado de garantías, responsabilización transformadora y reintegración de la persona ofensora</w:t>
      </w:r>
    </w:p>
    <w:tbl>
      <w:tblPr>
        <w:tblW w:type="auto" w:w="0"/>
        <w:jc w:val="center"/>
        <w:tblLayout w:type="fixed"/>
        <w:tblLook w:firstColumn="1" w:firstRow="1" w:lastColumn="0" w:lastRow="0" w:noHBand="0" w:noVBand="1" w:val="04A0"/>
      </w:tblPr>
      <w:tblGrid>
        <w:gridCol w:w="10224"/>
      </w:tblGrid>
      <w:tr>
        <w:trPr/>
        <w:tc>
          <w:tcPr>
            <w:tcW w:type="dxa" w:w="9360"/>
            <w:shd w:fill="EEF3F8"/>
            <w:tcMar>
              <w:top w:w="120" w:type="dxa"/>
              <w:start w:w="160" w:type="dxa"/>
              <w:bottom w:w="120" w:type="dxa"/>
              <w:end w:w="160" w:type="dxa"/>
            </w:tcMar>
          </w:tcPr>
          <w:p>
            <w:pPr>
              <w:widowControl/>
              <w:spacing w:after="0"/>
            </w:pPr>
            <w:r>
              <w:rPr>
                <w:b/>
                <w:color w:val="1F4D78"/>
              </w:rPr>
              <w:t xml:space="preserve">Propósito. </w:t>
            </w:r>
            <w:r>
              <w:rPr>
                <w:sz w:val="19"/>
              </w:rPr>
              <w:t>Analizar si el mecanismo protege simultáneamente los derechos de la víctima/sobreviviente y las garantías de la persona ofensora, y si convierte la atribución de responsabilidad en un proceso voluntario, proporcional, no estigmatizante y orientado a la no repetición.</w:t>
            </w:r>
          </w:p>
        </w:tc>
      </w:tr>
    </w:tbl>
    <w:p>
      <w:pPr>
        <w:spacing w:after="40"/>
      </w:pPr>
    </w:p>
    <w:tbl>
      <w:tblPr>
        <w:tblW w:type="auto" w:w="0"/>
        <w:jc w:val="center"/>
        <w:tblLayout w:type="fixed"/>
        <w:tblLook w:firstColumn="1" w:firstRow="1" w:lastColumn="0" w:lastRow="0" w:noHBand="0" w:noVBand="1" w:val="04A0"/>
      </w:tblPr>
      <w:tblGrid>
        <w:gridCol w:w="10224"/>
      </w:tblGrid>
      <w:tr>
        <w:trPr/>
        <w:tc>
          <w:tcPr>
            <w:tcW w:type="dxa" w:w="9360"/>
            <w:shd w:fill="EEF3F8"/>
            <w:tcMar>
              <w:top w:w="120" w:type="dxa"/>
              <w:start w:w="160" w:type="dxa"/>
              <w:bottom w:w="120" w:type="dxa"/>
              <w:end w:w="160" w:type="dxa"/>
            </w:tcMar>
          </w:tcPr>
          <w:p>
            <w:pPr>
              <w:widowControl/>
              <w:spacing w:after="0"/>
            </w:pPr>
            <w:r>
              <w:rPr>
                <w:b/>
                <w:color w:val="1F4D78"/>
              </w:rPr>
              <w:t xml:space="preserve">Advertencia de equilibrio. </w:t>
            </w:r>
            <w:r>
              <w:rPr>
                <w:sz w:val="19"/>
              </w:rPr>
              <w:t>Defender los derechos del ofensor no significa neutralizar la desigualdad de poder, equiparar posiciones ni desplazar la centralidad de la reparación. Significa impedir que la justicia restaurativa se transforme en castigo informal, confesión inducida o intervención sin defensa, y crear condiciones reales para una responsabilización sostenible.</w:t>
            </w:r>
          </w:p>
        </w:tc>
      </w:tr>
    </w:tbl>
    <w:p>
      <w:pPr>
        <w:spacing w:after="40"/>
      </w:pPr>
    </w:p>
    <w:p>
      <w:pPr>
        <w:pStyle w:val="Heading1"/>
      </w:pPr>
      <w:r>
        <w:t>1. Uso y decisiones metodológicas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500"/>
            <w:shd w:fill="1F4D78"/>
            <w:vAlign w:val="center"/>
          </w:tcPr>
          <w:p>
            <w:pPr>
              <w:widowControl/>
              <w:spacing w:after="20" w:line="252" w:lineRule="auto"/>
            </w:pPr>
            <w:r/>
            <w:r>
              <w:rPr>
                <w:rFonts w:ascii="Calibri" w:hAnsi="Calibri"/>
                <w:b/>
                <w:color w:val="FFFFFF"/>
                <w:sz w:val="16"/>
              </w:rPr>
              <w:t>Criterio</w:t>
            </w:r>
          </w:p>
        </w:tc>
        <w:tc>
          <w:tcPr>
            <w:tcW w:type="dxa" w:w="4300"/>
            <w:shd w:fill="1F4D78"/>
            <w:vAlign w:val="center"/>
          </w:tcPr>
          <w:p>
            <w:pPr>
              <w:widowControl/>
              <w:spacing w:after="20" w:line="252" w:lineRule="auto"/>
            </w:pPr>
            <w:r/>
            <w:r>
              <w:rPr>
                <w:rFonts w:ascii="Calibri" w:hAnsi="Calibri"/>
                <w:b/>
                <w:color w:val="FFFFFF"/>
                <w:sz w:val="16"/>
              </w:rPr>
              <w:t>Descripción</w:t>
            </w:r>
          </w:p>
        </w:tc>
        <w:tc>
          <w:tcPr>
            <w:tcW w:type="dxa" w:w="3560"/>
            <w:shd w:fill="1F4D78"/>
            <w:vAlign w:val="center"/>
          </w:tcPr>
          <w:p>
            <w:pPr>
              <w:widowControl/>
              <w:spacing w:after="20" w:line="252" w:lineRule="auto"/>
            </w:pPr>
            <w:r/>
            <w:r>
              <w:rPr>
                <w:rFonts w:ascii="Calibri" w:hAnsi="Calibri"/>
                <w:b/>
                <w:color w:val="FFFFFF"/>
                <w:sz w:val="16"/>
              </w:rPr>
              <w:t>Registro / decisión metodológica</w:t>
            </w:r>
          </w:p>
        </w:tc>
      </w:tr>
      <w:tr>
        <w:trPr>
          <w:cantSplit/>
        </w:trPr>
        <w:tc>
          <w:tcPr>
            <w:tcW w:type="dxa" w:w="15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Objeto</w:t>
            </w:r>
          </w:p>
        </w:tc>
        <w:tc>
          <w:tcPr>
            <w:tcW w:type="dxa" w:w="43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Caso de violencia sexual en el que se aplicó o propuso un mecanismo restaurativo.</w:t>
            </w:r>
          </w:p>
        </w:tc>
        <w:tc>
          <w:tcPr>
            <w:tcW w:type="dxa" w:w="35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5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Unidades de análisis</w:t>
            </w:r>
          </w:p>
        </w:tc>
        <w:tc>
          <w:tcPr>
            <w:tcW w:type="dxa" w:w="43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Víctima/sobreviviente; persona ofensora; mecanismo; equipo; comunidad; sistema penal; resultados y seguimiento.</w:t>
            </w:r>
          </w:p>
        </w:tc>
        <w:tc>
          <w:tcPr>
            <w:tcW w:type="dxa" w:w="35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15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Lenguaje</w:t>
            </w:r>
          </w:p>
        </w:tc>
        <w:tc>
          <w:tcPr>
            <w:tcW w:type="dxa" w:w="43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Registrar la categoría jurídica exacta y, en el análisis restaurativo, usar “persona ofensora”. Si no existe declaración de responsabilidad, evitar anticipar culpabilidad.</w:t>
            </w:r>
          </w:p>
        </w:tc>
        <w:tc>
          <w:tcPr>
            <w:tcW w:type="dxa" w:w="35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5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Doble perspectiva</w:t>
            </w:r>
          </w:p>
        </w:tc>
        <w:tc>
          <w:tcPr>
            <w:tcW w:type="dxa" w:w="43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Examinar protección y reparación de la víctima, junto con defensa, participación, proporcionalidad, transformación y reintegración del ofensor.</w:t>
            </w:r>
          </w:p>
        </w:tc>
        <w:tc>
          <w:tcPr>
            <w:tcW w:type="dxa" w:w="35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15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Regla de interpretación</w:t>
            </w:r>
          </w:p>
        </w:tc>
        <w:tc>
          <w:tcPr>
            <w:tcW w:type="dxa" w:w="43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Un resultado favorable a la víctima no subsana violaciones de garantías del ofensor; y un resultado reintegrador para el ofensor no compensa revictimización, coerción o impunidad.</w:t>
            </w:r>
          </w:p>
        </w:tc>
        <w:tc>
          <w:tcPr>
            <w:tcW w:type="dxa" w:w="35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bl>
    <w:p>
      <w:pPr>
        <w:spacing w:after="40"/>
      </w:pPr>
    </w:p>
    <w:p>
      <w:pPr>
        <w:pStyle w:val="Heading1"/>
      </w:pPr>
      <w:r>
        <w:t>2. Ficha general del caso</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500"/>
            <w:shd w:fill="1F4D78"/>
            <w:vAlign w:val="center"/>
          </w:tcPr>
          <w:p>
            <w:pPr>
              <w:widowControl/>
              <w:spacing w:after="20" w:line="252" w:lineRule="auto"/>
            </w:pPr>
            <w:r/>
            <w:r>
              <w:rPr>
                <w:rFonts w:ascii="Calibri" w:hAnsi="Calibri"/>
                <w:b/>
                <w:color w:val="FFFFFF"/>
                <w:sz w:val="16"/>
              </w:rPr>
              <w:t>Dimensión</w:t>
            </w:r>
          </w:p>
        </w:tc>
        <w:tc>
          <w:tcPr>
            <w:tcW w:type="dxa" w:w="3900"/>
            <w:shd w:fill="1F4D78"/>
            <w:vAlign w:val="center"/>
          </w:tcPr>
          <w:p>
            <w:pPr>
              <w:widowControl/>
              <w:spacing w:after="20" w:line="252" w:lineRule="auto"/>
            </w:pPr>
            <w:r/>
            <w:r>
              <w:rPr>
                <w:rFonts w:ascii="Calibri" w:hAnsi="Calibri"/>
                <w:b/>
                <w:color w:val="FFFFFF"/>
                <w:sz w:val="16"/>
              </w:rPr>
              <w:t>Pregunta / dato requerido</w:t>
            </w:r>
          </w:p>
        </w:tc>
        <w:tc>
          <w:tcPr>
            <w:tcW w:type="dxa" w:w="2000"/>
            <w:shd w:fill="1F4D78"/>
            <w:vAlign w:val="center"/>
          </w:tcPr>
          <w:p>
            <w:pPr>
              <w:widowControl/>
              <w:spacing w:after="20" w:line="252" w:lineRule="auto"/>
            </w:pPr>
            <w:r/>
            <w:r>
              <w:rPr>
                <w:rFonts w:ascii="Calibri" w:hAnsi="Calibri"/>
                <w:b/>
                <w:color w:val="FFFFFF"/>
                <w:sz w:val="16"/>
              </w:rPr>
              <w:t>Registro</w:t>
            </w:r>
          </w:p>
        </w:tc>
        <w:tc>
          <w:tcPr>
            <w:tcW w:type="dxa" w:w="1960"/>
            <w:shd w:fill="1F4D78"/>
            <w:vAlign w:val="center"/>
          </w:tcPr>
          <w:p>
            <w:pPr>
              <w:widowControl/>
              <w:spacing w:after="20" w:line="252" w:lineRule="auto"/>
            </w:pPr>
            <w:r/>
            <w:r>
              <w:rPr>
                <w:rFonts w:ascii="Calibri" w:hAnsi="Calibri"/>
                <w:b/>
                <w:color w:val="FFFFFF"/>
                <w:sz w:val="16"/>
              </w:rPr>
              <w:t>Fuente</w:t>
            </w:r>
          </w:p>
        </w:tc>
      </w:tr>
      <w:tr>
        <w:trPr>
          <w:cantSplit/>
        </w:trPr>
        <w:tc>
          <w:tcPr>
            <w:tcW w:type="dxa" w:w="15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Identificación y jurisdicción</w:t>
            </w:r>
          </w:p>
        </w:tc>
        <w:tc>
          <w:tcPr>
            <w:tcW w:type="dxa" w:w="39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¿Cómo se identifica el caso y bajo qué sistema jurídico se tramitó?</w:t>
            </w:r>
          </w:p>
        </w:tc>
        <w:tc>
          <w:tcPr>
            <w:tcW w:type="dxa" w:w="20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9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5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Hecho y calificación</w:t>
            </w:r>
          </w:p>
        </w:tc>
        <w:tc>
          <w:tcPr>
            <w:tcW w:type="dxa" w:w="39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¿Qué conducta se atribuye y cuál es su calificación jurídica?</w:t>
            </w:r>
          </w:p>
        </w:tc>
        <w:tc>
          <w:tcPr>
            <w:tcW w:type="dxa" w:w="20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9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15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Situación procesal</w:t>
            </w:r>
          </w:p>
        </w:tc>
        <w:tc>
          <w:tcPr>
            <w:tcW w:type="dxa" w:w="39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¿Investigación, acusación, sentencia, remisión, salida alternativa, ejecución u otra?</w:t>
            </w:r>
          </w:p>
        </w:tc>
        <w:tc>
          <w:tcPr>
            <w:tcW w:type="dxa" w:w="20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9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5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Víctima/sobreviviente</w:t>
            </w:r>
          </w:p>
        </w:tc>
        <w:tc>
          <w:tcPr>
            <w:tcW w:type="dxa" w:w="39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Edad, necesidades, condiciones interseccionales, daños y red de apoyo.</w:t>
            </w:r>
          </w:p>
        </w:tc>
        <w:tc>
          <w:tcPr>
            <w:tcW w:type="dxa" w:w="20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9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15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Persona ofensora</w:t>
            </w:r>
          </w:p>
        </w:tc>
        <w:tc>
          <w:tcPr>
            <w:tcW w:type="dxa" w:w="39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Edad al momento del hecho y del proceso; situación familiar, educativa, laboral, sanitaria y comunitaria.</w:t>
            </w:r>
          </w:p>
        </w:tc>
        <w:tc>
          <w:tcPr>
            <w:tcW w:type="dxa" w:w="20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9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5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Capacidad y desarrollo</w:t>
            </w:r>
          </w:p>
        </w:tc>
        <w:tc>
          <w:tcPr>
            <w:tcW w:type="dxa" w:w="39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¿Existen discapacidad, neurodivergencia, consumo problemático, trauma, barreras idiomáticas o nivel de madurez relevantes?</w:t>
            </w:r>
          </w:p>
        </w:tc>
        <w:tc>
          <w:tcPr>
            <w:tcW w:type="dxa" w:w="20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9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15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Relación y poder</w:t>
            </w:r>
          </w:p>
        </w:tc>
        <w:tc>
          <w:tcPr>
            <w:tcW w:type="dxa" w:w="39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¿Qué vínculo y asimetrías existían entre víctima y ofensor?</w:t>
            </w:r>
          </w:p>
        </w:tc>
        <w:tc>
          <w:tcPr>
            <w:tcW w:type="dxa" w:w="20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9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5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Pluralidad de personas</w:t>
            </w:r>
          </w:p>
        </w:tc>
        <w:tc>
          <w:tcPr>
            <w:tcW w:type="dxa" w:w="39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¿Hay varias víctimas u ofensores? ¿Cómo se individualizan hechos, responsabilidad y acuerdos?</w:t>
            </w:r>
          </w:p>
        </w:tc>
        <w:tc>
          <w:tcPr>
            <w:tcW w:type="dxa" w:w="20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9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15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Mecanismo</w:t>
            </w:r>
          </w:p>
        </w:tc>
        <w:tc>
          <w:tcPr>
            <w:tcW w:type="dxa" w:w="39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Tipo, fundamento de elección, autoridad derivante y equipo facilitador.</w:t>
            </w:r>
          </w:p>
        </w:tc>
        <w:tc>
          <w:tcPr>
            <w:tcW w:type="dxa" w:w="20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9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5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Resultado declarado</w:t>
            </w:r>
          </w:p>
        </w:tc>
        <w:tc>
          <w:tcPr>
            <w:tcW w:type="dxa" w:w="39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¿Qué actores lo califican como exitoso y con qué evidencia?</w:t>
            </w:r>
          </w:p>
        </w:tc>
        <w:tc>
          <w:tcPr>
            <w:tcW w:type="dxa" w:w="20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9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bl>
    <w:p>
      <w:pPr>
        <w:spacing w:after="40"/>
      </w:pPr>
    </w:p>
    <w:p>
      <w:pPr>
        <w:pStyle w:val="Heading1"/>
      </w:pPr>
      <w:r>
        <w:t>3. Filtro de admisibilidad ética y jurídica</w:t>
      </w:r>
    </w:p>
    <w:tbl>
      <w:tblPr>
        <w:tblW w:type="auto" w:w="0"/>
        <w:jc w:val="center"/>
        <w:tblLayout w:type="fixed"/>
        <w:tblLook w:firstColumn="1" w:firstRow="1" w:lastColumn="0" w:lastRow="0" w:noHBand="0" w:noVBand="1" w:val="04A0"/>
      </w:tblPr>
      <w:tblGrid>
        <w:gridCol w:w="10224"/>
      </w:tblGrid>
      <w:tr>
        <w:trPr/>
        <w:tc>
          <w:tcPr>
            <w:tcW w:type="dxa" w:w="9360"/>
            <w:shd w:fill="EEF3F8"/>
            <w:tcMar>
              <w:top w:w="120" w:type="dxa"/>
              <w:start w:w="160" w:type="dxa"/>
              <w:bottom w:w="120" w:type="dxa"/>
              <w:end w:w="160" w:type="dxa"/>
            </w:tcMar>
          </w:tcPr>
          <w:p>
            <w:pPr>
              <w:widowControl/>
              <w:spacing w:after="0"/>
            </w:pPr>
            <w:r>
              <w:rPr>
                <w:b/>
                <w:color w:val="1F4D78"/>
              </w:rPr>
              <w:t xml:space="preserve">Regla de exclusión. </w:t>
            </w:r>
            <w:r>
              <w:rPr>
                <w:sz w:val="19"/>
              </w:rPr>
              <w:t>Si hay coerción, ausencia de defensa, riesgo no controlable, incapacidad para comprender, amenaza de autoincriminación, acuerdo manifiestamente desproporcionado o presión sobre la víctima, el proceso no debe iniciarse o debe suspenderse. La inviabilidad del encuentro directo no excluye modalidades indirectas.</w:t>
            </w:r>
          </w:p>
        </w:tc>
      </w:tr>
    </w:tbl>
    <w:p>
      <w:pPr>
        <w:spacing w:after="40"/>
      </w:pP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500"/>
            <w:shd w:fill="1F4D78"/>
            <w:vAlign w:val="center"/>
          </w:tcPr>
          <w:p>
            <w:pPr>
              <w:widowControl/>
              <w:spacing w:after="20" w:line="252" w:lineRule="auto"/>
            </w:pPr>
            <w:r/>
            <w:r>
              <w:rPr>
                <w:rFonts w:ascii="Calibri" w:hAnsi="Calibri"/>
                <w:b/>
                <w:color w:val="FFFFFF"/>
                <w:sz w:val="16"/>
              </w:rPr>
              <w:t>Criterio mínimo</w:t>
            </w:r>
          </w:p>
        </w:tc>
        <w:tc>
          <w:tcPr>
            <w:tcW w:type="dxa" w:w="3550"/>
            <w:shd w:fill="1F4D78"/>
            <w:vAlign w:val="center"/>
          </w:tcPr>
          <w:p>
            <w:pPr>
              <w:widowControl/>
              <w:spacing w:after="20" w:line="252" w:lineRule="auto"/>
            </w:pPr>
            <w:r/>
            <w:r>
              <w:rPr>
                <w:rFonts w:ascii="Calibri" w:hAnsi="Calibri"/>
                <w:b/>
                <w:color w:val="FFFFFF"/>
                <w:sz w:val="16"/>
              </w:rPr>
              <w:t>Pregunta de verificación</w:t>
            </w:r>
          </w:p>
        </w:tc>
        <w:tc>
          <w:tcPr>
            <w:tcW w:type="dxa" w:w="1150"/>
            <w:shd w:fill="1F4D78"/>
            <w:vAlign w:val="center"/>
          </w:tcPr>
          <w:p>
            <w:pPr>
              <w:widowControl/>
              <w:spacing w:after="20" w:line="252" w:lineRule="auto"/>
            </w:pPr>
            <w:r/>
            <w:r>
              <w:rPr>
                <w:rFonts w:ascii="Calibri" w:hAnsi="Calibri"/>
                <w:b/>
                <w:color w:val="FFFFFF"/>
                <w:sz w:val="16"/>
              </w:rPr>
              <w:t>Cumple / parcial / no</w:t>
            </w:r>
          </w:p>
        </w:tc>
        <w:tc>
          <w:tcPr>
            <w:tcW w:type="dxa" w:w="1500"/>
            <w:shd w:fill="1F4D78"/>
            <w:vAlign w:val="center"/>
          </w:tcPr>
          <w:p>
            <w:pPr>
              <w:widowControl/>
              <w:spacing w:after="20" w:line="252" w:lineRule="auto"/>
            </w:pPr>
            <w:r/>
            <w:r>
              <w:rPr>
                <w:rFonts w:ascii="Calibri" w:hAnsi="Calibri"/>
                <w:b/>
                <w:color w:val="FFFFFF"/>
                <w:sz w:val="16"/>
              </w:rPr>
              <w:t>Evidencia</w:t>
            </w:r>
          </w:p>
        </w:tc>
        <w:tc>
          <w:tcPr>
            <w:tcW w:type="dxa" w:w="1660"/>
            <w:shd w:fill="1F4D78"/>
            <w:vAlign w:val="center"/>
          </w:tcPr>
          <w:p>
            <w:pPr>
              <w:widowControl/>
              <w:spacing w:after="20" w:line="252" w:lineRule="auto"/>
            </w:pPr>
            <w:r/>
            <w:r>
              <w:rPr>
                <w:rFonts w:ascii="Calibri" w:hAnsi="Calibri"/>
                <w:b/>
                <w:color w:val="FFFFFF"/>
                <w:sz w:val="16"/>
              </w:rPr>
              <w:t>Riesgo / decisión</w:t>
            </w:r>
          </w:p>
        </w:tc>
      </w:tr>
      <w:tr>
        <w:trPr>
          <w:cantSplit/>
        </w:trPr>
        <w:tc>
          <w:tcPr>
            <w:tcW w:type="dxa" w:w="15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Base fáctica suficiente</w:t>
            </w:r>
          </w:p>
        </w:tc>
        <w:tc>
          <w:tcPr>
            <w:tcW w:type="dxa" w:w="35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¿Existen elementos convincentes que justifican la derivación, sin usar el mecanismo para suplir una investigación deficiente?</w:t>
            </w:r>
          </w:p>
        </w:tc>
        <w:tc>
          <w:tcPr>
            <w:tcW w:type="dxa" w:w="11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5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6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5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Presunción de inocencia</w:t>
            </w:r>
          </w:p>
        </w:tc>
        <w:tc>
          <w:tcPr>
            <w:tcW w:type="dxa" w:w="35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¿El lenguaje y las actuaciones evitan anticipar culpabilidad cuando no existe decisión firme?</w:t>
            </w:r>
          </w:p>
        </w:tc>
        <w:tc>
          <w:tcPr>
            <w:tcW w:type="dxa" w:w="11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5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6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15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Asistencia jurídica</w:t>
            </w:r>
          </w:p>
        </w:tc>
        <w:tc>
          <w:tcPr>
            <w:tcW w:type="dxa" w:w="35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¿El ofensor recibió asesoramiento independiente antes de aceptar, declarar o firmar?</w:t>
            </w:r>
          </w:p>
        </w:tc>
        <w:tc>
          <w:tcPr>
            <w:tcW w:type="dxa" w:w="11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5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6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5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Información comprensible</w:t>
            </w:r>
          </w:p>
        </w:tc>
        <w:tc>
          <w:tcPr>
            <w:tcW w:type="dxa" w:w="35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¿Conoce naturaleza, duración, alternativas, consecuencias del incumplimiento y efectos procesales?</w:t>
            </w:r>
          </w:p>
        </w:tc>
        <w:tc>
          <w:tcPr>
            <w:tcW w:type="dxa" w:w="11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5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6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15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Voluntariedad bilateral</w:t>
            </w:r>
          </w:p>
        </w:tc>
        <w:tc>
          <w:tcPr>
            <w:tcW w:type="dxa" w:w="35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¿Víctima y ofensor aceptan sin amenazas, promesas indebidas, presión familiar, institucional o económica?</w:t>
            </w:r>
          </w:p>
        </w:tc>
        <w:tc>
          <w:tcPr>
            <w:tcW w:type="dxa" w:w="11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5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6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5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Revocabilidad</w:t>
            </w:r>
          </w:p>
        </w:tc>
        <w:tc>
          <w:tcPr>
            <w:tcW w:type="dxa" w:w="35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¿Ambas partes pueden retirarse o pedir pausa sin sanción automática ni inferencias adversas?</w:t>
            </w:r>
          </w:p>
        </w:tc>
        <w:tc>
          <w:tcPr>
            <w:tcW w:type="dxa" w:w="11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5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6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15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No autoincriminación</w:t>
            </w:r>
          </w:p>
        </w:tc>
        <w:tc>
          <w:tcPr>
            <w:tcW w:type="dxa" w:w="35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¿La admisión o lo expresado no será utilizado en un procedimiento posterior y la confidencialidad tiene límites claros?</w:t>
            </w:r>
          </w:p>
        </w:tc>
        <w:tc>
          <w:tcPr>
            <w:tcW w:type="dxa" w:w="11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5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6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5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Capacidad de participación</w:t>
            </w:r>
          </w:p>
        </w:tc>
        <w:tc>
          <w:tcPr>
            <w:tcW w:type="dxa" w:w="35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¿Comprende, decide, comunica y cuenta con ajustes, intérprete o adulto de apoyo cuando corresponde?</w:t>
            </w:r>
          </w:p>
        </w:tc>
        <w:tc>
          <w:tcPr>
            <w:tcW w:type="dxa" w:w="11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5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6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15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Reconocimiento mínimo libre</w:t>
            </w:r>
          </w:p>
        </w:tc>
        <w:tc>
          <w:tcPr>
            <w:tcW w:type="dxa" w:w="35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¿La persona ofensora admite voluntariamente una base suficiente de participación, diferenciada de una confesión penal forzada?</w:t>
            </w:r>
          </w:p>
        </w:tc>
        <w:tc>
          <w:tcPr>
            <w:tcW w:type="dxa" w:w="11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5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6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5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Riesgo y seguridad</w:t>
            </w:r>
          </w:p>
        </w:tc>
        <w:tc>
          <w:tcPr>
            <w:tcW w:type="dxa" w:w="35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¿Se evaluaron represalia, reiteración, manipulación, violencia institucional y riesgos para ambas partes?</w:t>
            </w:r>
          </w:p>
        </w:tc>
        <w:tc>
          <w:tcPr>
            <w:tcW w:type="dxa" w:w="11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5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6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15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Imparcialidad del equipo</w:t>
            </w:r>
          </w:p>
        </w:tc>
        <w:tc>
          <w:tcPr>
            <w:tcW w:type="dxa" w:w="35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¿El equipo no ejerció previamente roles incompatibles de investigación, terapia, acusación o apoyo exclusivo?</w:t>
            </w:r>
          </w:p>
        </w:tc>
        <w:tc>
          <w:tcPr>
            <w:tcW w:type="dxa" w:w="11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5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6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5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Proporcionalidad preliminar</w:t>
            </w:r>
          </w:p>
        </w:tc>
        <w:tc>
          <w:tcPr>
            <w:tcW w:type="dxa" w:w="35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¿Las obligaciones posibles son legales, individualizadas, realizables y no degradantes?</w:t>
            </w:r>
          </w:p>
        </w:tc>
        <w:tc>
          <w:tcPr>
            <w:tcW w:type="dxa" w:w="11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5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6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15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Legalidad y revisión</w:t>
            </w:r>
          </w:p>
        </w:tc>
        <w:tc>
          <w:tcPr>
            <w:tcW w:type="dxa" w:w="35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¿La derivación está prevista, documentada y sujeta a control o revisión por autoridad competente?</w:t>
            </w:r>
          </w:p>
        </w:tc>
        <w:tc>
          <w:tcPr>
            <w:tcW w:type="dxa" w:w="11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5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6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5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Especialidad reforzada</w:t>
            </w:r>
          </w:p>
        </w:tc>
        <w:tc>
          <w:tcPr>
            <w:tcW w:type="dxa" w:w="35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Si el ofensor es adolescente, ¿se aplican interés superior, especialización, privacidad, celeridad y finalidad educativa?</w:t>
            </w:r>
          </w:p>
        </w:tc>
        <w:tc>
          <w:tcPr>
            <w:tcW w:type="dxa" w:w="11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5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6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bl>
    <w:p>
      <w:pPr>
        <w:spacing w:after="40"/>
      </w:pPr>
    </w:p>
    <w:p>
      <w:pPr>
        <w:pStyle w:val="Heading1"/>
      </w:pPr>
      <w:r>
        <w:t>4. Matriz central: garantías y defensa de la persona ofensora</w:t>
      </w:r>
    </w:p>
    <w:p>
      <w:pPr>
        <w:pStyle w:val="Heading2"/>
      </w:pPr>
      <w:r>
        <w:t>4.1. Posición jurídica y defensa efectiva</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350"/>
            <w:shd w:fill="1F4D78"/>
            <w:vAlign w:val="center"/>
          </w:tcPr>
          <w:p>
            <w:pPr>
              <w:widowControl/>
              <w:spacing w:after="20" w:line="252" w:lineRule="auto"/>
            </w:pPr>
            <w:r/>
            <w:r>
              <w:rPr>
                <w:rFonts w:ascii="Calibri" w:hAnsi="Calibri"/>
                <w:b/>
                <w:color w:val="FFFFFF"/>
                <w:sz w:val="16"/>
              </w:rPr>
              <w:t>Variable</w:t>
            </w:r>
          </w:p>
        </w:tc>
        <w:tc>
          <w:tcPr>
            <w:tcW w:type="dxa" w:w="3000"/>
            <w:shd w:fill="1F4D78"/>
            <w:vAlign w:val="center"/>
          </w:tcPr>
          <w:p>
            <w:pPr>
              <w:widowControl/>
              <w:spacing w:after="20" w:line="252" w:lineRule="auto"/>
            </w:pPr>
            <w:r/>
            <w:r>
              <w:rPr>
                <w:rFonts w:ascii="Calibri" w:hAnsi="Calibri"/>
                <w:b/>
                <w:color w:val="FFFFFF"/>
                <w:sz w:val="16"/>
              </w:rPr>
              <w:t>Pregunta de análisis</w:t>
            </w:r>
          </w:p>
        </w:tc>
        <w:tc>
          <w:tcPr>
            <w:tcW w:type="dxa" w:w="2300"/>
            <w:shd w:fill="1F4D78"/>
            <w:vAlign w:val="center"/>
          </w:tcPr>
          <w:p>
            <w:pPr>
              <w:widowControl/>
              <w:spacing w:after="20" w:line="252" w:lineRule="auto"/>
            </w:pPr>
            <w:r/>
            <w:r>
              <w:rPr>
                <w:rFonts w:ascii="Calibri" w:hAnsi="Calibri"/>
                <w:b/>
                <w:color w:val="FFFFFF"/>
                <w:sz w:val="16"/>
              </w:rPr>
              <w:t>Indicadores / evidencia</w:t>
            </w:r>
          </w:p>
        </w:tc>
        <w:tc>
          <w:tcPr>
            <w:tcW w:type="dxa" w:w="1350"/>
            <w:shd w:fill="1F4D78"/>
            <w:vAlign w:val="center"/>
          </w:tcPr>
          <w:p>
            <w:pPr>
              <w:widowControl/>
              <w:spacing w:after="20" w:line="252" w:lineRule="auto"/>
            </w:pPr>
            <w:r/>
            <w:r>
              <w:rPr>
                <w:rFonts w:ascii="Calibri" w:hAnsi="Calibri"/>
                <w:b/>
                <w:color w:val="FFFFFF"/>
                <w:sz w:val="16"/>
              </w:rPr>
              <w:t>Registro</w:t>
            </w:r>
          </w:p>
        </w:tc>
        <w:tc>
          <w:tcPr>
            <w:tcW w:type="dxa" w:w="1360"/>
            <w:shd w:fill="1F4D78"/>
            <w:vAlign w:val="center"/>
          </w:tcPr>
          <w:p>
            <w:pPr>
              <w:widowControl/>
              <w:spacing w:after="20" w:line="252" w:lineRule="auto"/>
            </w:pPr>
            <w:r/>
            <w:r>
              <w:rPr>
                <w:rFonts w:ascii="Calibri" w:hAnsi="Calibri"/>
                <w:b/>
                <w:color w:val="FFFFFF"/>
                <w:sz w:val="16"/>
              </w:rPr>
              <w:t>Fuente / observación</w:t>
            </w:r>
          </w:p>
        </w:tc>
      </w:tr>
      <w:tr>
        <w:trPr>
          <w:cantSplit/>
        </w:trPr>
        <w:tc>
          <w:tcPr>
            <w:tcW w:type="dxa" w:w="13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Información temprana</w:t>
            </w:r>
          </w:p>
        </w:tc>
        <w:tc>
          <w:tcPr>
            <w:tcW w:type="dxa" w:w="30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¿Se le explicó el hecho atribuido, opciones, derechos y efectos jurídicos en lenguaje accesible?</w:t>
            </w:r>
          </w:p>
        </w:tc>
        <w:tc>
          <w:tcPr>
            <w:tcW w:type="dxa" w:w="23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Constancias de explicación oral; comprensión verificada.</w:t>
            </w:r>
          </w:p>
        </w:tc>
        <w:tc>
          <w:tcPr>
            <w:tcW w:type="dxa" w:w="13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3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3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Defensa técnica independiente</w:t>
            </w:r>
          </w:p>
        </w:tc>
        <w:tc>
          <w:tcPr>
            <w:tcW w:type="dxa" w:w="30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¿Tuvo asesoría antes y durante decisiones críticas?</w:t>
            </w:r>
          </w:p>
        </w:tc>
        <w:tc>
          <w:tcPr>
            <w:tcW w:type="dxa" w:w="23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Entrevista reservada; tiempo y medios; ausencia de conflicto de interés.</w:t>
            </w:r>
          </w:p>
        </w:tc>
        <w:tc>
          <w:tcPr>
            <w:tcW w:type="dxa" w:w="13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3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13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Silencio y no autoincriminación</w:t>
            </w:r>
          </w:p>
        </w:tc>
        <w:tc>
          <w:tcPr>
            <w:tcW w:type="dxa" w:w="30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¿Pudo guardar silencio y limitar su relato sin consecuencias adversas?</w:t>
            </w:r>
          </w:p>
        </w:tc>
        <w:tc>
          <w:tcPr>
            <w:tcW w:type="dxa" w:w="23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Reglas escritas sobre uso de declaraciones y confidencialidad.</w:t>
            </w:r>
          </w:p>
        </w:tc>
        <w:tc>
          <w:tcPr>
            <w:tcW w:type="dxa" w:w="13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3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3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Impugnación y revisión</w:t>
            </w:r>
          </w:p>
        </w:tc>
        <w:tc>
          <w:tcPr>
            <w:tcW w:type="dxa" w:w="30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¿Puede cuestionar derivación, condiciones, acuerdo o incumplimiento?</w:t>
            </w:r>
          </w:p>
        </w:tc>
        <w:tc>
          <w:tcPr>
            <w:tcW w:type="dxa" w:w="23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Autoridad competente, recurso efectivo y revisión imparcial.</w:t>
            </w:r>
          </w:p>
        </w:tc>
        <w:tc>
          <w:tcPr>
            <w:tcW w:type="dxa" w:w="13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3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13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Privacidad</w:t>
            </w:r>
          </w:p>
        </w:tc>
        <w:tc>
          <w:tcPr>
            <w:tcW w:type="dxa" w:w="30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¿Se protegieron identidad, expedientes y comunicaciones?</w:t>
            </w:r>
          </w:p>
        </w:tc>
        <w:tc>
          <w:tcPr>
            <w:tcW w:type="dxa" w:w="23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Acceso restringido; anonimización; prohibición de difusión.</w:t>
            </w:r>
          </w:p>
        </w:tc>
        <w:tc>
          <w:tcPr>
            <w:tcW w:type="dxa" w:w="13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3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3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Celeridad con garantías</w:t>
            </w:r>
          </w:p>
        </w:tc>
        <w:tc>
          <w:tcPr>
            <w:tcW w:type="dxa" w:w="30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¿El tiempo fue razonable sin apresurar la decisión?</w:t>
            </w:r>
          </w:p>
        </w:tc>
        <w:tc>
          <w:tcPr>
            <w:tcW w:type="dxa" w:w="23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Plazos breves pero suficientes para defensa y preparación.</w:t>
            </w:r>
          </w:p>
        </w:tc>
        <w:tc>
          <w:tcPr>
            <w:tcW w:type="dxa" w:w="13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3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bl>
    <w:p>
      <w:pPr>
        <w:spacing w:after="40"/>
      </w:pPr>
    </w:p>
    <w:p>
      <w:pPr>
        <w:pStyle w:val="Heading2"/>
      </w:pPr>
      <w:r>
        <w:t>4.2. Voluntariedad, comprensión y participación</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350"/>
            <w:shd w:fill="1F4D78"/>
            <w:vAlign w:val="center"/>
          </w:tcPr>
          <w:p>
            <w:pPr>
              <w:widowControl/>
              <w:spacing w:after="20" w:line="252" w:lineRule="auto"/>
            </w:pPr>
            <w:r/>
            <w:r>
              <w:rPr>
                <w:rFonts w:ascii="Calibri" w:hAnsi="Calibri"/>
                <w:b/>
                <w:color w:val="FFFFFF"/>
                <w:sz w:val="16"/>
              </w:rPr>
              <w:t>Variable</w:t>
            </w:r>
          </w:p>
        </w:tc>
        <w:tc>
          <w:tcPr>
            <w:tcW w:type="dxa" w:w="3000"/>
            <w:shd w:fill="1F4D78"/>
            <w:vAlign w:val="center"/>
          </w:tcPr>
          <w:p>
            <w:pPr>
              <w:widowControl/>
              <w:spacing w:after="20" w:line="252" w:lineRule="auto"/>
            </w:pPr>
            <w:r/>
            <w:r>
              <w:rPr>
                <w:rFonts w:ascii="Calibri" w:hAnsi="Calibri"/>
                <w:b/>
                <w:color w:val="FFFFFF"/>
                <w:sz w:val="16"/>
              </w:rPr>
              <w:t>Pregunta de análisis</w:t>
            </w:r>
          </w:p>
        </w:tc>
        <w:tc>
          <w:tcPr>
            <w:tcW w:type="dxa" w:w="2300"/>
            <w:shd w:fill="1F4D78"/>
            <w:vAlign w:val="center"/>
          </w:tcPr>
          <w:p>
            <w:pPr>
              <w:widowControl/>
              <w:spacing w:after="20" w:line="252" w:lineRule="auto"/>
            </w:pPr>
            <w:r/>
            <w:r>
              <w:rPr>
                <w:rFonts w:ascii="Calibri" w:hAnsi="Calibri"/>
                <w:b/>
                <w:color w:val="FFFFFF"/>
                <w:sz w:val="16"/>
              </w:rPr>
              <w:t>Indicadores / evidencia</w:t>
            </w:r>
          </w:p>
        </w:tc>
        <w:tc>
          <w:tcPr>
            <w:tcW w:type="dxa" w:w="1350"/>
            <w:shd w:fill="1F4D78"/>
            <w:vAlign w:val="center"/>
          </w:tcPr>
          <w:p>
            <w:pPr>
              <w:widowControl/>
              <w:spacing w:after="20" w:line="252" w:lineRule="auto"/>
            </w:pPr>
            <w:r/>
            <w:r>
              <w:rPr>
                <w:rFonts w:ascii="Calibri" w:hAnsi="Calibri"/>
                <w:b/>
                <w:color w:val="FFFFFF"/>
                <w:sz w:val="16"/>
              </w:rPr>
              <w:t>Registro</w:t>
            </w:r>
          </w:p>
        </w:tc>
        <w:tc>
          <w:tcPr>
            <w:tcW w:type="dxa" w:w="1360"/>
            <w:shd w:fill="1F4D78"/>
            <w:vAlign w:val="center"/>
          </w:tcPr>
          <w:p>
            <w:pPr>
              <w:widowControl/>
              <w:spacing w:after="20" w:line="252" w:lineRule="auto"/>
            </w:pPr>
            <w:r/>
            <w:r>
              <w:rPr>
                <w:rFonts w:ascii="Calibri" w:hAnsi="Calibri"/>
                <w:b/>
                <w:color w:val="FFFFFF"/>
                <w:sz w:val="16"/>
              </w:rPr>
              <w:t>Fuente / observación</w:t>
            </w:r>
          </w:p>
        </w:tc>
      </w:tr>
      <w:tr>
        <w:trPr>
          <w:cantSplit/>
        </w:trPr>
        <w:tc>
          <w:tcPr>
            <w:tcW w:type="dxa" w:w="13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Consentimiento libre</w:t>
            </w:r>
          </w:p>
        </w:tc>
        <w:tc>
          <w:tcPr>
            <w:tcW w:type="dxa" w:w="30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¿La decisión estuvo libre de intimidación, amenaza de mayor pena o expectativa engañosa de beneficio?</w:t>
            </w:r>
          </w:p>
        </w:tc>
        <w:tc>
          <w:tcPr>
            <w:tcW w:type="dxa" w:w="23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Registro de alternativas reales y consentimiento reiterado.</w:t>
            </w:r>
          </w:p>
        </w:tc>
        <w:tc>
          <w:tcPr>
            <w:tcW w:type="dxa" w:w="13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3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3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Comprensión sustantiva</w:t>
            </w:r>
          </w:p>
        </w:tc>
        <w:tc>
          <w:tcPr>
            <w:tcW w:type="dxa" w:w="30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¿Puede explicar con sus palabras el proceso, sus derechos y posibles consecuencias?</w:t>
            </w:r>
          </w:p>
        </w:tc>
        <w:tc>
          <w:tcPr>
            <w:tcW w:type="dxa" w:w="23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Verificación dialogada; intérprete o apoyos.</w:t>
            </w:r>
          </w:p>
        </w:tc>
        <w:tc>
          <w:tcPr>
            <w:tcW w:type="dxa" w:w="13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3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13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Participación directa</w:t>
            </w:r>
          </w:p>
        </w:tc>
        <w:tc>
          <w:tcPr>
            <w:tcW w:type="dxa" w:w="30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¿Pudo formular preguntas, proponer condiciones, narrar su experiencia y ser escuchada?</w:t>
            </w:r>
          </w:p>
        </w:tc>
        <w:tc>
          <w:tcPr>
            <w:tcW w:type="dxa" w:w="23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Intervenciones propias, no solo de representantes.</w:t>
            </w:r>
          </w:p>
        </w:tc>
        <w:tc>
          <w:tcPr>
            <w:tcW w:type="dxa" w:w="13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3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3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Apoyos adecuados</w:t>
            </w:r>
          </w:p>
        </w:tc>
        <w:tc>
          <w:tcPr>
            <w:tcW w:type="dxa" w:w="30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¿Eligió persona de apoyo y se evitó que la familia la coaccionara o hablara por ella?</w:t>
            </w:r>
          </w:p>
        </w:tc>
        <w:tc>
          <w:tcPr>
            <w:tcW w:type="dxa" w:w="23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Evaluación de idoneidad del adulto o red.</w:t>
            </w:r>
          </w:p>
        </w:tc>
        <w:tc>
          <w:tcPr>
            <w:tcW w:type="dxa" w:w="13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3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13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Retiro y pausa</w:t>
            </w:r>
          </w:p>
        </w:tc>
        <w:tc>
          <w:tcPr>
            <w:tcW w:type="dxa" w:w="30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¿Pudo desistir antes del acuerdo o solicitar modalidad indirecta?</w:t>
            </w:r>
          </w:p>
        </w:tc>
        <w:tc>
          <w:tcPr>
            <w:tcW w:type="dxa" w:w="23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Protocolo sin represalias ni inferencias de culpabilidad.</w:t>
            </w:r>
          </w:p>
        </w:tc>
        <w:tc>
          <w:tcPr>
            <w:tcW w:type="dxa" w:w="13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3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bl>
    <w:p>
      <w:pPr>
        <w:spacing w:after="40"/>
      </w:pPr>
    </w:p>
    <w:p>
      <w:pPr>
        <w:pStyle w:val="Heading2"/>
      </w:pPr>
      <w:r>
        <w:t>4.3. Responsabilización no coercitiva y transformadora</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350"/>
            <w:shd w:fill="1F4D78"/>
            <w:vAlign w:val="center"/>
          </w:tcPr>
          <w:p>
            <w:pPr>
              <w:widowControl/>
              <w:spacing w:after="20" w:line="252" w:lineRule="auto"/>
            </w:pPr>
            <w:r/>
            <w:r>
              <w:rPr>
                <w:rFonts w:ascii="Calibri" w:hAnsi="Calibri"/>
                <w:b/>
                <w:color w:val="FFFFFF"/>
                <w:sz w:val="16"/>
              </w:rPr>
              <w:t>Variable</w:t>
            </w:r>
          </w:p>
        </w:tc>
        <w:tc>
          <w:tcPr>
            <w:tcW w:type="dxa" w:w="3000"/>
            <w:shd w:fill="1F4D78"/>
            <w:vAlign w:val="center"/>
          </w:tcPr>
          <w:p>
            <w:pPr>
              <w:widowControl/>
              <w:spacing w:after="20" w:line="252" w:lineRule="auto"/>
            </w:pPr>
            <w:r/>
            <w:r>
              <w:rPr>
                <w:rFonts w:ascii="Calibri" w:hAnsi="Calibri"/>
                <w:b/>
                <w:color w:val="FFFFFF"/>
                <w:sz w:val="16"/>
              </w:rPr>
              <w:t>Pregunta de análisis</w:t>
            </w:r>
          </w:p>
        </w:tc>
        <w:tc>
          <w:tcPr>
            <w:tcW w:type="dxa" w:w="2300"/>
            <w:shd w:fill="1F4D78"/>
            <w:vAlign w:val="center"/>
          </w:tcPr>
          <w:p>
            <w:pPr>
              <w:widowControl/>
              <w:spacing w:after="20" w:line="252" w:lineRule="auto"/>
            </w:pPr>
            <w:r/>
            <w:r>
              <w:rPr>
                <w:rFonts w:ascii="Calibri" w:hAnsi="Calibri"/>
                <w:b/>
                <w:color w:val="FFFFFF"/>
                <w:sz w:val="16"/>
              </w:rPr>
              <w:t>Indicadores / evidencia</w:t>
            </w:r>
          </w:p>
        </w:tc>
        <w:tc>
          <w:tcPr>
            <w:tcW w:type="dxa" w:w="1350"/>
            <w:shd w:fill="1F4D78"/>
            <w:vAlign w:val="center"/>
          </w:tcPr>
          <w:p>
            <w:pPr>
              <w:widowControl/>
              <w:spacing w:after="20" w:line="252" w:lineRule="auto"/>
            </w:pPr>
            <w:r/>
            <w:r>
              <w:rPr>
                <w:rFonts w:ascii="Calibri" w:hAnsi="Calibri"/>
                <w:b/>
                <w:color w:val="FFFFFF"/>
                <w:sz w:val="16"/>
              </w:rPr>
              <w:t>Registro</w:t>
            </w:r>
          </w:p>
        </w:tc>
        <w:tc>
          <w:tcPr>
            <w:tcW w:type="dxa" w:w="1360"/>
            <w:shd w:fill="1F4D78"/>
            <w:vAlign w:val="center"/>
          </w:tcPr>
          <w:p>
            <w:pPr>
              <w:widowControl/>
              <w:spacing w:after="20" w:line="252" w:lineRule="auto"/>
            </w:pPr>
            <w:r/>
            <w:r>
              <w:rPr>
                <w:rFonts w:ascii="Calibri" w:hAnsi="Calibri"/>
                <w:b/>
                <w:color w:val="FFFFFF"/>
                <w:sz w:val="16"/>
              </w:rPr>
              <w:t>Fuente / observación</w:t>
            </w:r>
          </w:p>
        </w:tc>
      </w:tr>
      <w:tr>
        <w:trPr>
          <w:cantSplit/>
        </w:trPr>
        <w:tc>
          <w:tcPr>
            <w:tcW w:type="dxa" w:w="13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Admisión diferenciada</w:t>
            </w:r>
          </w:p>
        </w:tc>
        <w:tc>
          <w:tcPr>
            <w:tcW w:type="dxa" w:w="30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¿Se distingue la aceptación mínima para el proceso de una confesión penal completa?</w:t>
            </w:r>
          </w:p>
        </w:tc>
        <w:tc>
          <w:tcPr>
            <w:tcW w:type="dxa" w:w="23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Actas y explicación de efectos jurídicos.</w:t>
            </w:r>
          </w:p>
        </w:tc>
        <w:tc>
          <w:tcPr>
            <w:tcW w:type="dxa" w:w="13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3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3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Reconocimiento de agencia</w:t>
            </w:r>
          </w:p>
        </w:tc>
        <w:tc>
          <w:tcPr>
            <w:tcW w:type="dxa" w:w="30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¿Identifica decisiones propias sin explicaciones deterministas ni culpabilización de la víctima?</w:t>
            </w:r>
          </w:p>
        </w:tc>
        <w:tc>
          <w:tcPr>
            <w:tcW w:type="dxa" w:w="23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Relato concreto de conducta y alternativas posibles.</w:t>
            </w:r>
          </w:p>
        </w:tc>
        <w:tc>
          <w:tcPr>
            <w:tcW w:type="dxa" w:w="13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3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13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Comprensión del daño</w:t>
            </w:r>
          </w:p>
        </w:tc>
        <w:tc>
          <w:tcPr>
            <w:tcW w:type="dxa" w:w="30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¿Reconoce impactos directos, relacionales y comunitarios?</w:t>
            </w:r>
          </w:p>
        </w:tc>
        <w:tc>
          <w:tcPr>
            <w:tcW w:type="dxa" w:w="23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Escucha, reflexión y capacidad empática verificable.</w:t>
            </w:r>
          </w:p>
        </w:tc>
        <w:tc>
          <w:tcPr>
            <w:tcW w:type="dxa" w:w="13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3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3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Contexto sin exculpación</w:t>
            </w:r>
          </w:p>
        </w:tc>
        <w:tc>
          <w:tcPr>
            <w:tcW w:type="dxa" w:w="30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¿Se analizan trauma, masculinidades, consumo, exclusión o violencia previa sin convertirlos en excusa?</w:t>
            </w:r>
          </w:p>
        </w:tc>
        <w:tc>
          <w:tcPr>
            <w:tcW w:type="dxa" w:w="23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Evaluación individual y plan de intervención.</w:t>
            </w:r>
          </w:p>
        </w:tc>
        <w:tc>
          <w:tcPr>
            <w:tcW w:type="dxa" w:w="13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3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13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Motivación al cambio</w:t>
            </w:r>
          </w:p>
        </w:tc>
        <w:tc>
          <w:tcPr>
            <w:tcW w:type="dxa" w:w="30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¿La motivación excede el beneficio procesal inmediato?</w:t>
            </w:r>
          </w:p>
        </w:tc>
        <w:tc>
          <w:tcPr>
            <w:tcW w:type="dxa" w:w="23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Evolución entre sesiones; metas propias; coherencia conductual.</w:t>
            </w:r>
          </w:p>
        </w:tc>
        <w:tc>
          <w:tcPr>
            <w:tcW w:type="dxa" w:w="13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3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3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Responsabilidad progresiva</w:t>
            </w:r>
          </w:p>
        </w:tc>
        <w:tc>
          <w:tcPr>
            <w:tcW w:type="dxa" w:w="30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¿El proceso permite construir responsabilidad gradualmente, sin exigir una actuación emocional predeterminada?</w:t>
            </w:r>
          </w:p>
        </w:tc>
        <w:tc>
          <w:tcPr>
            <w:tcW w:type="dxa" w:w="23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Ausencia de guion obligatorio de arrepentimiento o perdón.</w:t>
            </w:r>
          </w:p>
        </w:tc>
        <w:tc>
          <w:tcPr>
            <w:tcW w:type="dxa" w:w="13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3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bl>
    <w:p>
      <w:pPr>
        <w:spacing w:after="40"/>
      </w:pPr>
    </w:p>
    <w:p>
      <w:pPr>
        <w:pStyle w:val="Heading2"/>
      </w:pPr>
      <w:r>
        <w:t>4.4. Trato digno y no estigmatización</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350"/>
            <w:shd w:fill="1F4D78"/>
            <w:vAlign w:val="center"/>
          </w:tcPr>
          <w:p>
            <w:pPr>
              <w:widowControl/>
              <w:spacing w:after="20" w:line="252" w:lineRule="auto"/>
            </w:pPr>
            <w:r/>
            <w:r>
              <w:rPr>
                <w:rFonts w:ascii="Calibri" w:hAnsi="Calibri"/>
                <w:b/>
                <w:color w:val="FFFFFF"/>
                <w:sz w:val="16"/>
              </w:rPr>
              <w:t>Variable</w:t>
            </w:r>
          </w:p>
        </w:tc>
        <w:tc>
          <w:tcPr>
            <w:tcW w:type="dxa" w:w="3000"/>
            <w:shd w:fill="1F4D78"/>
            <w:vAlign w:val="center"/>
          </w:tcPr>
          <w:p>
            <w:pPr>
              <w:widowControl/>
              <w:spacing w:after="20" w:line="252" w:lineRule="auto"/>
            </w:pPr>
            <w:r/>
            <w:r>
              <w:rPr>
                <w:rFonts w:ascii="Calibri" w:hAnsi="Calibri"/>
                <w:b/>
                <w:color w:val="FFFFFF"/>
                <w:sz w:val="16"/>
              </w:rPr>
              <w:t>Pregunta de análisis</w:t>
            </w:r>
          </w:p>
        </w:tc>
        <w:tc>
          <w:tcPr>
            <w:tcW w:type="dxa" w:w="2300"/>
            <w:shd w:fill="1F4D78"/>
            <w:vAlign w:val="center"/>
          </w:tcPr>
          <w:p>
            <w:pPr>
              <w:widowControl/>
              <w:spacing w:after="20" w:line="252" w:lineRule="auto"/>
            </w:pPr>
            <w:r/>
            <w:r>
              <w:rPr>
                <w:rFonts w:ascii="Calibri" w:hAnsi="Calibri"/>
                <w:b/>
                <w:color w:val="FFFFFF"/>
                <w:sz w:val="16"/>
              </w:rPr>
              <w:t>Indicadores / evidencia</w:t>
            </w:r>
          </w:p>
        </w:tc>
        <w:tc>
          <w:tcPr>
            <w:tcW w:type="dxa" w:w="1350"/>
            <w:shd w:fill="1F4D78"/>
            <w:vAlign w:val="center"/>
          </w:tcPr>
          <w:p>
            <w:pPr>
              <w:widowControl/>
              <w:spacing w:after="20" w:line="252" w:lineRule="auto"/>
            </w:pPr>
            <w:r/>
            <w:r>
              <w:rPr>
                <w:rFonts w:ascii="Calibri" w:hAnsi="Calibri"/>
                <w:b/>
                <w:color w:val="FFFFFF"/>
                <w:sz w:val="16"/>
              </w:rPr>
              <w:t>Registro</w:t>
            </w:r>
          </w:p>
        </w:tc>
        <w:tc>
          <w:tcPr>
            <w:tcW w:type="dxa" w:w="1360"/>
            <w:shd w:fill="1F4D78"/>
            <w:vAlign w:val="center"/>
          </w:tcPr>
          <w:p>
            <w:pPr>
              <w:widowControl/>
              <w:spacing w:after="20" w:line="252" w:lineRule="auto"/>
            </w:pPr>
            <w:r/>
            <w:r>
              <w:rPr>
                <w:rFonts w:ascii="Calibri" w:hAnsi="Calibri"/>
                <w:b/>
                <w:color w:val="FFFFFF"/>
                <w:sz w:val="16"/>
              </w:rPr>
              <w:t>Fuente / observación</w:t>
            </w:r>
          </w:p>
        </w:tc>
      </w:tr>
      <w:tr>
        <w:trPr>
          <w:cantSplit/>
        </w:trPr>
        <w:tc>
          <w:tcPr>
            <w:tcW w:type="dxa" w:w="13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Lenguaje no degradante</w:t>
            </w:r>
          </w:p>
        </w:tc>
        <w:tc>
          <w:tcPr>
            <w:tcW w:type="dxa" w:w="30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¿Se evita identificar a la persona únicamente con el delito?</w:t>
            </w:r>
          </w:p>
        </w:tc>
        <w:tc>
          <w:tcPr>
            <w:tcW w:type="dxa" w:w="23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Uso de nombre y lenguaje centrado en la conducta.</w:t>
            </w:r>
          </w:p>
        </w:tc>
        <w:tc>
          <w:tcPr>
            <w:tcW w:type="dxa" w:w="13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3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3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Dignidad e integridad</w:t>
            </w:r>
          </w:p>
        </w:tc>
        <w:tc>
          <w:tcPr>
            <w:tcW w:type="dxa" w:w="30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¿No hubo humillación pública, exposición, confrontación hostil o sanciones informales?</w:t>
            </w:r>
          </w:p>
        </w:tc>
        <w:tc>
          <w:tcPr>
            <w:tcW w:type="dxa" w:w="23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Reglas del encuentro; observación; quejas.</w:t>
            </w:r>
          </w:p>
        </w:tc>
        <w:tc>
          <w:tcPr>
            <w:tcW w:type="dxa" w:w="13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3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13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Imparcialidad</w:t>
            </w:r>
          </w:p>
        </w:tc>
        <w:tc>
          <w:tcPr>
            <w:tcW w:type="dxa" w:w="30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¿El facilitador mantiene equidistancia procesal sin negar la asimetría material del caso?</w:t>
            </w:r>
          </w:p>
        </w:tc>
        <w:tc>
          <w:tcPr>
            <w:tcW w:type="dxa" w:w="23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Intervenciones equilibradas y control de sesgos.</w:t>
            </w:r>
          </w:p>
        </w:tc>
        <w:tc>
          <w:tcPr>
            <w:tcW w:type="dxa" w:w="13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3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3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Identidad y diversidad</w:t>
            </w:r>
          </w:p>
        </w:tc>
        <w:tc>
          <w:tcPr>
            <w:tcW w:type="dxa" w:w="30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¿Se evitaron sesgos raciales, clasistas, capacitistas, homofóbicos o adultocéntricos?</w:t>
            </w:r>
          </w:p>
        </w:tc>
        <w:tc>
          <w:tcPr>
            <w:tcW w:type="dxa" w:w="23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Ajustes culturales; intérprete; análisis interseccional.</w:t>
            </w:r>
          </w:p>
        </w:tc>
        <w:tc>
          <w:tcPr>
            <w:tcW w:type="dxa" w:w="13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3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13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Derecho al futuro</w:t>
            </w:r>
          </w:p>
        </w:tc>
        <w:tc>
          <w:tcPr>
            <w:tcW w:type="dxa" w:w="30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¿El tratamiento evita antecedentes, registros o difusión que bloqueen educación, empleo, vivienda y vínculos?</w:t>
            </w:r>
          </w:p>
        </w:tc>
        <w:tc>
          <w:tcPr>
            <w:tcW w:type="dxa" w:w="23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Política de datos y cierre del caso.</w:t>
            </w:r>
          </w:p>
        </w:tc>
        <w:tc>
          <w:tcPr>
            <w:tcW w:type="dxa" w:w="13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3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bl>
    <w:p>
      <w:pPr>
        <w:spacing w:after="40"/>
      </w:pPr>
    </w:p>
    <w:p>
      <w:pPr>
        <w:pStyle w:val="Heading2"/>
      </w:pPr>
      <w:r>
        <w:t>4.5. Acuerdo, proporcionalidad y cumplimiento</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350"/>
            <w:shd w:fill="1F4D78"/>
            <w:vAlign w:val="center"/>
          </w:tcPr>
          <w:p>
            <w:pPr>
              <w:widowControl/>
              <w:spacing w:after="20" w:line="252" w:lineRule="auto"/>
            </w:pPr>
            <w:r/>
            <w:r>
              <w:rPr>
                <w:rFonts w:ascii="Calibri" w:hAnsi="Calibri"/>
                <w:b/>
                <w:color w:val="FFFFFF"/>
                <w:sz w:val="16"/>
              </w:rPr>
              <w:t>Variable</w:t>
            </w:r>
          </w:p>
        </w:tc>
        <w:tc>
          <w:tcPr>
            <w:tcW w:type="dxa" w:w="3000"/>
            <w:shd w:fill="1F4D78"/>
            <w:vAlign w:val="center"/>
          </w:tcPr>
          <w:p>
            <w:pPr>
              <w:widowControl/>
              <w:spacing w:after="20" w:line="252" w:lineRule="auto"/>
            </w:pPr>
            <w:r/>
            <w:r>
              <w:rPr>
                <w:rFonts w:ascii="Calibri" w:hAnsi="Calibri"/>
                <w:b/>
                <w:color w:val="FFFFFF"/>
                <w:sz w:val="16"/>
              </w:rPr>
              <w:t>Pregunta de análisis</w:t>
            </w:r>
          </w:p>
        </w:tc>
        <w:tc>
          <w:tcPr>
            <w:tcW w:type="dxa" w:w="2300"/>
            <w:shd w:fill="1F4D78"/>
            <w:vAlign w:val="center"/>
          </w:tcPr>
          <w:p>
            <w:pPr>
              <w:widowControl/>
              <w:spacing w:after="20" w:line="252" w:lineRule="auto"/>
            </w:pPr>
            <w:r/>
            <w:r>
              <w:rPr>
                <w:rFonts w:ascii="Calibri" w:hAnsi="Calibri"/>
                <w:b/>
                <w:color w:val="FFFFFF"/>
                <w:sz w:val="16"/>
              </w:rPr>
              <w:t>Indicadores / evidencia</w:t>
            </w:r>
          </w:p>
        </w:tc>
        <w:tc>
          <w:tcPr>
            <w:tcW w:type="dxa" w:w="1350"/>
            <w:shd w:fill="1F4D78"/>
            <w:vAlign w:val="center"/>
          </w:tcPr>
          <w:p>
            <w:pPr>
              <w:widowControl/>
              <w:spacing w:after="20" w:line="252" w:lineRule="auto"/>
            </w:pPr>
            <w:r/>
            <w:r>
              <w:rPr>
                <w:rFonts w:ascii="Calibri" w:hAnsi="Calibri"/>
                <w:b/>
                <w:color w:val="FFFFFF"/>
                <w:sz w:val="16"/>
              </w:rPr>
              <w:t>Registro</w:t>
            </w:r>
          </w:p>
        </w:tc>
        <w:tc>
          <w:tcPr>
            <w:tcW w:type="dxa" w:w="1360"/>
            <w:shd w:fill="1F4D78"/>
            <w:vAlign w:val="center"/>
          </w:tcPr>
          <w:p>
            <w:pPr>
              <w:widowControl/>
              <w:spacing w:after="20" w:line="252" w:lineRule="auto"/>
            </w:pPr>
            <w:r/>
            <w:r>
              <w:rPr>
                <w:rFonts w:ascii="Calibri" w:hAnsi="Calibri"/>
                <w:b/>
                <w:color w:val="FFFFFF"/>
                <w:sz w:val="16"/>
              </w:rPr>
              <w:t>Fuente / observación</w:t>
            </w:r>
          </w:p>
        </w:tc>
      </w:tr>
      <w:tr>
        <w:trPr>
          <w:cantSplit/>
        </w:trPr>
        <w:tc>
          <w:tcPr>
            <w:tcW w:type="dxa" w:w="13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Construcción participativa</w:t>
            </w:r>
          </w:p>
        </w:tc>
        <w:tc>
          <w:tcPr>
            <w:tcW w:type="dxa" w:w="30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¿El ofensor pudo proponer obligaciones y advertir límites reales?</w:t>
            </w:r>
          </w:p>
        </w:tc>
        <w:tc>
          <w:tcPr>
            <w:tcW w:type="dxa" w:w="23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Borradores, asesoría y consentimiento final.</w:t>
            </w:r>
          </w:p>
        </w:tc>
        <w:tc>
          <w:tcPr>
            <w:tcW w:type="dxa" w:w="13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3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3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Legalidad y proporcionalidad</w:t>
            </w:r>
          </w:p>
        </w:tc>
        <w:tc>
          <w:tcPr>
            <w:tcW w:type="dxa" w:w="30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¿Las medidas guardan relación con daño, capacidad, edad y circunstancias?</w:t>
            </w:r>
          </w:p>
        </w:tc>
        <w:tc>
          <w:tcPr>
            <w:tcW w:type="dxa" w:w="23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Control jurídico; ausencia de castigos degradantes.</w:t>
            </w:r>
          </w:p>
        </w:tc>
        <w:tc>
          <w:tcPr>
            <w:tcW w:type="dxa" w:w="13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3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13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Factibilidad material</w:t>
            </w:r>
          </w:p>
        </w:tc>
        <w:tc>
          <w:tcPr>
            <w:tcW w:type="dxa" w:w="30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¿Se consideraron ingresos, estudio, trabajo, cuidados, salud, territorio y transporte?</w:t>
            </w:r>
          </w:p>
        </w:tc>
        <w:tc>
          <w:tcPr>
            <w:tcW w:type="dxa" w:w="23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Plan viable, apoyos y cronograma.</w:t>
            </w:r>
          </w:p>
        </w:tc>
        <w:tc>
          <w:tcPr>
            <w:tcW w:type="dxa" w:w="13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3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3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Reparación sin explotación</w:t>
            </w:r>
          </w:p>
        </w:tc>
        <w:tc>
          <w:tcPr>
            <w:tcW w:type="dxa" w:w="30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¿La reparación económica o comunitaria no produce servidumbre, endeudamiento extremo ni exposición?</w:t>
            </w:r>
          </w:p>
        </w:tc>
        <w:tc>
          <w:tcPr>
            <w:tcW w:type="dxa" w:w="23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Topes, modalidades alternativas y seguridad.</w:t>
            </w:r>
          </w:p>
        </w:tc>
        <w:tc>
          <w:tcPr>
            <w:tcW w:type="dxa" w:w="13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3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13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Incumplimiento diferenciado</w:t>
            </w:r>
          </w:p>
        </w:tc>
        <w:tc>
          <w:tcPr>
            <w:tcW w:type="dxa" w:w="30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¿Se distingue negativa deliberada de imposibilidad sobrevenida?</w:t>
            </w:r>
          </w:p>
        </w:tc>
        <w:tc>
          <w:tcPr>
            <w:tcW w:type="dxa" w:w="23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Revisión del plan antes de sancionar.</w:t>
            </w:r>
          </w:p>
        </w:tc>
        <w:tc>
          <w:tcPr>
            <w:tcW w:type="dxa" w:w="13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3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3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Cierre y efectos</w:t>
            </w:r>
          </w:p>
        </w:tc>
        <w:tc>
          <w:tcPr>
            <w:tcW w:type="dxa" w:w="30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¿El cumplimiento cierra definitivamente la medida y evita antecedentes indebidos?</w:t>
            </w:r>
          </w:p>
        </w:tc>
        <w:tc>
          <w:tcPr>
            <w:tcW w:type="dxa" w:w="23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Resolución, constancia y tratamiento de registros.</w:t>
            </w:r>
          </w:p>
        </w:tc>
        <w:tc>
          <w:tcPr>
            <w:tcW w:type="dxa" w:w="13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3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bl>
    <w:p>
      <w:pPr>
        <w:spacing w:after="40"/>
      </w:pPr>
    </w:p>
    <w:p>
      <w:pPr>
        <w:pStyle w:val="Heading2"/>
      </w:pPr>
      <w:r>
        <w:t>4.6. Transformación, desistimiento y reintegración</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350"/>
            <w:shd w:fill="1F4D78"/>
            <w:vAlign w:val="center"/>
          </w:tcPr>
          <w:p>
            <w:pPr>
              <w:widowControl/>
              <w:spacing w:after="20" w:line="252" w:lineRule="auto"/>
            </w:pPr>
            <w:r/>
            <w:r>
              <w:rPr>
                <w:rFonts w:ascii="Calibri" w:hAnsi="Calibri"/>
                <w:b/>
                <w:color w:val="FFFFFF"/>
                <w:sz w:val="16"/>
              </w:rPr>
              <w:t>Variable</w:t>
            </w:r>
          </w:p>
        </w:tc>
        <w:tc>
          <w:tcPr>
            <w:tcW w:type="dxa" w:w="3000"/>
            <w:shd w:fill="1F4D78"/>
            <w:vAlign w:val="center"/>
          </w:tcPr>
          <w:p>
            <w:pPr>
              <w:widowControl/>
              <w:spacing w:after="20" w:line="252" w:lineRule="auto"/>
            </w:pPr>
            <w:r/>
            <w:r>
              <w:rPr>
                <w:rFonts w:ascii="Calibri" w:hAnsi="Calibri"/>
                <w:b/>
                <w:color w:val="FFFFFF"/>
                <w:sz w:val="16"/>
              </w:rPr>
              <w:t>Pregunta de análisis</w:t>
            </w:r>
          </w:p>
        </w:tc>
        <w:tc>
          <w:tcPr>
            <w:tcW w:type="dxa" w:w="2300"/>
            <w:shd w:fill="1F4D78"/>
            <w:vAlign w:val="center"/>
          </w:tcPr>
          <w:p>
            <w:pPr>
              <w:widowControl/>
              <w:spacing w:after="20" w:line="252" w:lineRule="auto"/>
            </w:pPr>
            <w:r/>
            <w:r>
              <w:rPr>
                <w:rFonts w:ascii="Calibri" w:hAnsi="Calibri"/>
                <w:b/>
                <w:color w:val="FFFFFF"/>
                <w:sz w:val="16"/>
              </w:rPr>
              <w:t>Indicadores / evidencia</w:t>
            </w:r>
          </w:p>
        </w:tc>
        <w:tc>
          <w:tcPr>
            <w:tcW w:type="dxa" w:w="1350"/>
            <w:shd w:fill="1F4D78"/>
            <w:vAlign w:val="center"/>
          </w:tcPr>
          <w:p>
            <w:pPr>
              <w:widowControl/>
              <w:spacing w:after="20" w:line="252" w:lineRule="auto"/>
            </w:pPr>
            <w:r/>
            <w:r>
              <w:rPr>
                <w:rFonts w:ascii="Calibri" w:hAnsi="Calibri"/>
                <w:b/>
                <w:color w:val="FFFFFF"/>
                <w:sz w:val="16"/>
              </w:rPr>
              <w:t>Registro</w:t>
            </w:r>
          </w:p>
        </w:tc>
        <w:tc>
          <w:tcPr>
            <w:tcW w:type="dxa" w:w="1360"/>
            <w:shd w:fill="1F4D78"/>
            <w:vAlign w:val="center"/>
          </w:tcPr>
          <w:p>
            <w:pPr>
              <w:widowControl/>
              <w:spacing w:after="20" w:line="252" w:lineRule="auto"/>
            </w:pPr>
            <w:r/>
            <w:r>
              <w:rPr>
                <w:rFonts w:ascii="Calibri" w:hAnsi="Calibri"/>
                <w:b/>
                <w:color w:val="FFFFFF"/>
                <w:sz w:val="16"/>
              </w:rPr>
              <w:t>Fuente / observación</w:t>
            </w:r>
          </w:p>
        </w:tc>
      </w:tr>
      <w:tr>
        <w:trPr>
          <w:cantSplit/>
        </w:trPr>
        <w:tc>
          <w:tcPr>
            <w:tcW w:type="dxa" w:w="13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Plan individual</w:t>
            </w:r>
          </w:p>
        </w:tc>
        <w:tc>
          <w:tcPr>
            <w:tcW w:type="dxa" w:w="30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¿Existe evaluación de riesgos, necesidades, fortalezas y factores protectores?</w:t>
            </w:r>
          </w:p>
        </w:tc>
        <w:tc>
          <w:tcPr>
            <w:tcW w:type="dxa" w:w="23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PIEM/plan equivalente, metas e indicadores.</w:t>
            </w:r>
          </w:p>
        </w:tc>
        <w:tc>
          <w:tcPr>
            <w:tcW w:type="dxa" w:w="13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3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3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Intervención especializada</w:t>
            </w:r>
          </w:p>
        </w:tc>
        <w:tc>
          <w:tcPr>
            <w:tcW w:type="dxa" w:w="30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¿Hay trabajo sobre violencia sexual, consentimiento, género, poder, empatía y autorregulación?</w:t>
            </w:r>
          </w:p>
        </w:tc>
        <w:tc>
          <w:tcPr>
            <w:tcW w:type="dxa" w:w="23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Programa especializado, no tratamiento genérico.</w:t>
            </w:r>
          </w:p>
        </w:tc>
        <w:tc>
          <w:tcPr>
            <w:tcW w:type="dxa" w:w="13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3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13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Proyecto de vida</w:t>
            </w:r>
          </w:p>
        </w:tc>
        <w:tc>
          <w:tcPr>
            <w:tcW w:type="dxa" w:w="30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¿El plan incorpora metas educativas, laborales, familiares, culturales y de ciudadanía?</w:t>
            </w:r>
          </w:p>
        </w:tc>
        <w:tc>
          <w:tcPr>
            <w:tcW w:type="dxa" w:w="23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Metas definidas por la persona y revisadas.</w:t>
            </w:r>
          </w:p>
        </w:tc>
        <w:tc>
          <w:tcPr>
            <w:tcW w:type="dxa" w:w="13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3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3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Red protectora</w:t>
            </w:r>
          </w:p>
        </w:tc>
        <w:tc>
          <w:tcPr>
            <w:tcW w:type="dxa" w:w="30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¿Familia y comunidad apoyan sin encubrir, vigilar abusivamente ni poner en riesgo a la víctima?</w:t>
            </w:r>
          </w:p>
        </w:tc>
        <w:tc>
          <w:tcPr>
            <w:tcW w:type="dxa" w:w="23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Mapa de red; roles y límites.</w:t>
            </w:r>
          </w:p>
        </w:tc>
        <w:tc>
          <w:tcPr>
            <w:tcW w:type="dxa" w:w="13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3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13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Apoyo material</w:t>
            </w:r>
          </w:p>
        </w:tc>
        <w:tc>
          <w:tcPr>
            <w:tcW w:type="dxa" w:w="30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¿Cuenta con vivienda, salud, educación, empleo, documentación y transporte?</w:t>
            </w:r>
          </w:p>
        </w:tc>
        <w:tc>
          <w:tcPr>
            <w:tcW w:type="dxa" w:w="23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Derivaciones efectivas y acceso comprobado.</w:t>
            </w:r>
          </w:p>
        </w:tc>
        <w:tc>
          <w:tcPr>
            <w:tcW w:type="dxa" w:w="13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3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3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Postegreso</w:t>
            </w:r>
          </w:p>
        </w:tc>
        <w:tc>
          <w:tcPr>
            <w:tcW w:type="dxa" w:w="30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¿El acompañamiento comienza antes del cierre y continúa voluntaria y flexiblemente?</w:t>
            </w:r>
          </w:p>
        </w:tc>
        <w:tc>
          <w:tcPr>
            <w:tcW w:type="dxa" w:w="23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Plan de transición, referente y seguimiento.</w:t>
            </w:r>
          </w:p>
        </w:tc>
        <w:tc>
          <w:tcPr>
            <w:tcW w:type="dxa" w:w="13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3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13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Antiestigma</w:t>
            </w:r>
          </w:p>
        </w:tc>
        <w:tc>
          <w:tcPr>
            <w:tcW w:type="dxa" w:w="30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¿Se interviene frente al rechazo comunitario que dificulta el desistimiento?</w:t>
            </w:r>
          </w:p>
        </w:tc>
        <w:tc>
          <w:tcPr>
            <w:tcW w:type="dxa" w:w="23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Mediación comunitaria, privacidad y oportunidades.</w:t>
            </w:r>
          </w:p>
        </w:tc>
        <w:tc>
          <w:tcPr>
            <w:tcW w:type="dxa" w:w="13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3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3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Evaluación de no repetición</w:t>
            </w:r>
          </w:p>
        </w:tc>
        <w:tc>
          <w:tcPr>
            <w:tcW w:type="dxa" w:w="30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¿Se miden cambios conductuales y condiciones de vida, no solo asistencia?</w:t>
            </w:r>
          </w:p>
        </w:tc>
        <w:tc>
          <w:tcPr>
            <w:tcW w:type="dxa" w:w="23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Indicadores periódicos, revisión y ajustes.</w:t>
            </w:r>
          </w:p>
        </w:tc>
        <w:tc>
          <w:tcPr>
            <w:tcW w:type="dxa" w:w="13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3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bl>
    <w:p>
      <w:pPr>
        <w:spacing w:after="40"/>
      </w:pPr>
    </w:p>
    <w:p>
      <w:pPr>
        <w:pStyle w:val="Heading1"/>
      </w:pPr>
      <w:r>
        <w:t>5. Salvaguardias específicas cuando la persona ofensora es adolescente</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700"/>
            <w:shd w:fill="1F4D78"/>
            <w:vAlign w:val="center"/>
          </w:tcPr>
          <w:p>
            <w:pPr>
              <w:widowControl/>
              <w:spacing w:after="20" w:line="252" w:lineRule="auto"/>
            </w:pPr>
            <w:r/>
            <w:r>
              <w:rPr>
                <w:rFonts w:ascii="Calibri" w:hAnsi="Calibri"/>
                <w:b/>
                <w:color w:val="FFFFFF"/>
                <w:sz w:val="16"/>
              </w:rPr>
              <w:t>Salvaguardia</w:t>
            </w:r>
          </w:p>
        </w:tc>
        <w:tc>
          <w:tcPr>
            <w:tcW w:type="dxa" w:w="4050"/>
            <w:shd w:fill="1F4D78"/>
            <w:vAlign w:val="center"/>
          </w:tcPr>
          <w:p>
            <w:pPr>
              <w:widowControl/>
              <w:spacing w:after="20" w:line="252" w:lineRule="auto"/>
            </w:pPr>
            <w:r/>
            <w:r>
              <w:rPr>
                <w:rFonts w:ascii="Calibri" w:hAnsi="Calibri"/>
                <w:b/>
                <w:color w:val="FFFFFF"/>
                <w:sz w:val="16"/>
              </w:rPr>
              <w:t>Pregunta de verificación</w:t>
            </w:r>
          </w:p>
        </w:tc>
        <w:tc>
          <w:tcPr>
            <w:tcW w:type="dxa" w:w="1800"/>
            <w:shd w:fill="1F4D78"/>
            <w:vAlign w:val="center"/>
          </w:tcPr>
          <w:p>
            <w:pPr>
              <w:widowControl/>
              <w:spacing w:after="20" w:line="252" w:lineRule="auto"/>
            </w:pPr>
            <w:r/>
            <w:r>
              <w:rPr>
                <w:rFonts w:ascii="Calibri" w:hAnsi="Calibri"/>
                <w:b/>
                <w:color w:val="FFFFFF"/>
                <w:sz w:val="16"/>
              </w:rPr>
              <w:t>Evidencia</w:t>
            </w:r>
          </w:p>
        </w:tc>
        <w:tc>
          <w:tcPr>
            <w:tcW w:type="dxa" w:w="1810"/>
            <w:shd w:fill="1F4D78"/>
            <w:vAlign w:val="center"/>
          </w:tcPr>
          <w:p>
            <w:pPr>
              <w:widowControl/>
              <w:spacing w:after="20" w:line="252" w:lineRule="auto"/>
            </w:pPr>
            <w:r/>
            <w:r>
              <w:rPr>
                <w:rFonts w:ascii="Calibri" w:hAnsi="Calibri"/>
                <w:b/>
                <w:color w:val="FFFFFF"/>
                <w:sz w:val="16"/>
              </w:rPr>
              <w:t>Valoración / observación</w:t>
            </w:r>
          </w:p>
        </w:tc>
      </w:tr>
      <w:tr>
        <w:trPr>
          <w:cantSplit/>
        </w:trPr>
        <w:tc>
          <w:tcPr>
            <w:tcW w:type="dxa" w:w="17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Especialidad</w:t>
            </w:r>
          </w:p>
        </w:tc>
        <w:tc>
          <w:tcPr>
            <w:tcW w:type="dxa" w:w="40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¿Intervienen autoridades, defensa y equipo con formación en justicia juvenil y desarrollo adolescente?</w:t>
            </w:r>
          </w:p>
        </w:tc>
        <w:tc>
          <w:tcPr>
            <w:tcW w:type="dxa" w:w="18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81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7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Edad y madurez</w:t>
            </w:r>
          </w:p>
        </w:tc>
        <w:tc>
          <w:tcPr>
            <w:tcW w:type="dxa" w:w="40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¿La evaluación reconoce que desarrollo, impulsividad y comprensión inciden en la participación sin negar agencia?</w:t>
            </w:r>
          </w:p>
        </w:tc>
        <w:tc>
          <w:tcPr>
            <w:tcW w:type="dxa" w:w="18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81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17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Interés superior</w:t>
            </w:r>
          </w:p>
        </w:tc>
        <w:tc>
          <w:tcPr>
            <w:tcW w:type="dxa" w:w="40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¿Cada decisión explicita cómo protege derechos y desarrollo integral?</w:t>
            </w:r>
          </w:p>
        </w:tc>
        <w:tc>
          <w:tcPr>
            <w:tcW w:type="dxa" w:w="18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81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7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Asistencia letrada gratuita</w:t>
            </w:r>
          </w:p>
        </w:tc>
        <w:tc>
          <w:tcPr>
            <w:tcW w:type="dxa" w:w="40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¿Existe desde el inicio y no se renuncia salvo decisión libre bajo control imparcial?</w:t>
            </w:r>
          </w:p>
        </w:tc>
        <w:tc>
          <w:tcPr>
            <w:tcW w:type="dxa" w:w="18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81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17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Adulto apropiado</w:t>
            </w:r>
          </w:p>
        </w:tc>
        <w:tc>
          <w:tcPr>
            <w:tcW w:type="dxa" w:w="40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¿Padre, madre, tutor u otra persona apoya sin coaccionar ni generar conflicto de interés?</w:t>
            </w:r>
          </w:p>
        </w:tc>
        <w:tc>
          <w:tcPr>
            <w:tcW w:type="dxa" w:w="18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81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7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Lenguaje y ambiente adaptados</w:t>
            </w:r>
          </w:p>
        </w:tc>
        <w:tc>
          <w:tcPr>
            <w:tcW w:type="dxa" w:w="40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¿Se explican cargos, opciones y acuerdos oralmente, en idioma comprensible y espacio no intimidante?</w:t>
            </w:r>
          </w:p>
        </w:tc>
        <w:tc>
          <w:tcPr>
            <w:tcW w:type="dxa" w:w="18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81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17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Privacidad permanente</w:t>
            </w:r>
          </w:p>
        </w:tc>
        <w:tc>
          <w:tcPr>
            <w:tcW w:type="dxa" w:w="40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¿Se evita divulgación y registros que obstaculicen educación, trabajo, vivienda o reintegración?</w:t>
            </w:r>
          </w:p>
        </w:tc>
        <w:tc>
          <w:tcPr>
            <w:tcW w:type="dxa" w:w="18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81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7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Medida menos restrictiva</w:t>
            </w:r>
          </w:p>
        </w:tc>
        <w:tc>
          <w:tcPr>
            <w:tcW w:type="dxa" w:w="40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¿Se priorizan respuestas comunitarias y se excluye privación de libertad como contenido extrajudicial?</w:t>
            </w:r>
          </w:p>
        </w:tc>
        <w:tc>
          <w:tcPr>
            <w:tcW w:type="dxa" w:w="18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81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17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Contenido educativo</w:t>
            </w:r>
          </w:p>
        </w:tc>
        <w:tc>
          <w:tcPr>
            <w:tcW w:type="dxa" w:w="40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¿La medida desarrolla capacidades y ciudadanía, no obediencia pasiva?</w:t>
            </w:r>
          </w:p>
        </w:tc>
        <w:tc>
          <w:tcPr>
            <w:tcW w:type="dxa" w:w="18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81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7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Cierre sin antecedentes</w:t>
            </w:r>
          </w:p>
        </w:tc>
        <w:tc>
          <w:tcPr>
            <w:tcW w:type="dxa" w:w="40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¿Cumplida la medida, el caso se cierra y no se trata como condena?</w:t>
            </w:r>
          </w:p>
        </w:tc>
        <w:tc>
          <w:tcPr>
            <w:tcW w:type="dxa" w:w="18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81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17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Transición y postegreso</w:t>
            </w:r>
          </w:p>
        </w:tc>
        <w:tc>
          <w:tcPr>
            <w:tcW w:type="dxa" w:w="40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¿Hay proyecto de vida, plan de reintegración, servicios y seguimiento voluntario?</w:t>
            </w:r>
          </w:p>
        </w:tc>
        <w:tc>
          <w:tcPr>
            <w:tcW w:type="dxa" w:w="18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81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7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No discriminación</w:t>
            </w:r>
          </w:p>
        </w:tc>
        <w:tc>
          <w:tcPr>
            <w:tcW w:type="dxa" w:w="40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¿Se consideran género, etnicidad, discapacidad, territorio, pobreza y orientación sexual?</w:t>
            </w:r>
          </w:p>
        </w:tc>
        <w:tc>
          <w:tcPr>
            <w:tcW w:type="dxa" w:w="18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81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bl>
    <w:p>
      <w:pPr>
        <w:spacing w:after="40"/>
      </w:pPr>
    </w:p>
    <w:p>
      <w:pPr>
        <w:pStyle w:val="Heading1"/>
      </w:pPr>
      <w:r>
        <w:t>6. Articulación con los derechos de la víctima/sobreviviente</w:t>
      </w:r>
    </w:p>
    <w:tbl>
      <w:tblPr>
        <w:tblW w:type="auto" w:w="0"/>
        <w:jc w:val="center"/>
        <w:tblLayout w:type="fixed"/>
        <w:tblLook w:firstColumn="1" w:firstRow="1" w:lastColumn="0" w:lastRow="0" w:noHBand="0" w:noVBand="1" w:val="04A0"/>
      </w:tblPr>
      <w:tblGrid>
        <w:gridCol w:w="10224"/>
      </w:tblGrid>
      <w:tr>
        <w:trPr/>
        <w:tc>
          <w:tcPr>
            <w:tcW w:type="dxa" w:w="9360"/>
            <w:shd w:fill="EEF3F8"/>
            <w:tcMar>
              <w:top w:w="120" w:type="dxa"/>
              <w:start w:w="160" w:type="dxa"/>
              <w:bottom w:w="120" w:type="dxa"/>
              <w:end w:w="160" w:type="dxa"/>
            </w:tcMar>
          </w:tcPr>
          <w:p>
            <w:pPr>
              <w:widowControl/>
              <w:spacing w:after="0"/>
            </w:pPr>
            <w:r>
              <w:rPr>
                <w:b/>
                <w:color w:val="1F4D78"/>
              </w:rPr>
              <w:t xml:space="preserve">Principio de no desplazamiento. </w:t>
            </w:r>
            <w:r>
              <w:rPr>
                <w:sz w:val="19"/>
              </w:rPr>
              <w:t>La ampliación del enfoque hacia la persona ofensora no reduce consentimiento, seguridad, derecho a no perdonar, acceso a justicia, reparación integral ni protección reforzada de la víctima. El análisis debe identificar tensiones y resolverlas sin imponer contacto o reconciliación.</w:t>
            </w:r>
          </w:p>
        </w:tc>
      </w:tr>
    </w:tbl>
    <w:p>
      <w:pPr>
        <w:spacing w:after="40"/>
      </w:pP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500"/>
            <w:shd w:fill="1F4D78"/>
            <w:vAlign w:val="center"/>
          </w:tcPr>
          <w:p>
            <w:pPr>
              <w:widowControl/>
              <w:spacing w:after="20" w:line="252" w:lineRule="auto"/>
            </w:pPr>
            <w:r/>
            <w:r>
              <w:rPr>
                <w:rFonts w:ascii="Calibri" w:hAnsi="Calibri"/>
                <w:b/>
                <w:color w:val="FFFFFF"/>
                <w:sz w:val="16"/>
              </w:rPr>
              <w:t>Dimensión</w:t>
            </w:r>
          </w:p>
        </w:tc>
        <w:tc>
          <w:tcPr>
            <w:tcW w:type="dxa" w:w="4300"/>
            <w:shd w:fill="1F4D78"/>
            <w:vAlign w:val="center"/>
          </w:tcPr>
          <w:p>
            <w:pPr>
              <w:widowControl/>
              <w:spacing w:after="20" w:line="252" w:lineRule="auto"/>
            </w:pPr>
            <w:r/>
            <w:r>
              <w:rPr>
                <w:rFonts w:ascii="Calibri" w:hAnsi="Calibri"/>
                <w:b/>
                <w:color w:val="FFFFFF"/>
                <w:sz w:val="16"/>
              </w:rPr>
              <w:t>Pregunta de equilibrio</w:t>
            </w:r>
          </w:p>
        </w:tc>
        <w:tc>
          <w:tcPr>
            <w:tcW w:type="dxa" w:w="1750"/>
            <w:shd w:fill="1F4D78"/>
            <w:vAlign w:val="center"/>
          </w:tcPr>
          <w:p>
            <w:pPr>
              <w:widowControl/>
              <w:spacing w:after="20" w:line="252" w:lineRule="auto"/>
            </w:pPr>
            <w:r/>
            <w:r>
              <w:rPr>
                <w:rFonts w:ascii="Calibri" w:hAnsi="Calibri"/>
                <w:b/>
                <w:color w:val="FFFFFF"/>
                <w:sz w:val="16"/>
              </w:rPr>
              <w:t>Registro</w:t>
            </w:r>
          </w:p>
        </w:tc>
        <w:tc>
          <w:tcPr>
            <w:tcW w:type="dxa" w:w="1810"/>
            <w:shd w:fill="1F4D78"/>
            <w:vAlign w:val="center"/>
          </w:tcPr>
          <w:p>
            <w:pPr>
              <w:widowControl/>
              <w:spacing w:after="20" w:line="252" w:lineRule="auto"/>
            </w:pPr>
            <w:r/>
            <w:r>
              <w:rPr>
                <w:rFonts w:ascii="Calibri" w:hAnsi="Calibri"/>
                <w:b/>
                <w:color w:val="FFFFFF"/>
                <w:sz w:val="16"/>
              </w:rPr>
              <w:t>Evidencia / tensión</w:t>
            </w:r>
          </w:p>
        </w:tc>
      </w:tr>
      <w:tr>
        <w:trPr>
          <w:cantSplit/>
        </w:trPr>
        <w:tc>
          <w:tcPr>
            <w:tcW w:type="dxa" w:w="15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Seguridad</w:t>
            </w:r>
          </w:p>
        </w:tc>
        <w:tc>
          <w:tcPr>
            <w:tcW w:type="dxa" w:w="43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¿Las necesidades de defensa y reintegración se implementan sin contacto no consentido ni debilitamiento de medidas de protección?</w:t>
            </w:r>
          </w:p>
        </w:tc>
        <w:tc>
          <w:tcPr>
            <w:tcW w:type="dxa" w:w="17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81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5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Voluntariedad</w:t>
            </w:r>
          </w:p>
        </w:tc>
        <w:tc>
          <w:tcPr>
            <w:tcW w:type="dxa" w:w="43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¿La víctima decide libremente participar, pausar, retirarse o usar modalidad indirecta?</w:t>
            </w:r>
          </w:p>
        </w:tc>
        <w:tc>
          <w:tcPr>
            <w:tcW w:type="dxa" w:w="17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81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15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Información y asesoría</w:t>
            </w:r>
          </w:p>
        </w:tc>
        <w:tc>
          <w:tcPr>
            <w:tcW w:type="dxa" w:w="43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¿Conoce alternativas, efectos, límites de confidencialidad y acceso a vía formal?</w:t>
            </w:r>
          </w:p>
        </w:tc>
        <w:tc>
          <w:tcPr>
            <w:tcW w:type="dxa" w:w="17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81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5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Agencia</w:t>
            </w:r>
          </w:p>
        </w:tc>
        <w:tc>
          <w:tcPr>
            <w:tcW w:type="dxa" w:w="43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¿Define tiempos, límites, participantes y contenidos relevantes?</w:t>
            </w:r>
          </w:p>
        </w:tc>
        <w:tc>
          <w:tcPr>
            <w:tcW w:type="dxa" w:w="17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81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15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No perdón obligatorio</w:t>
            </w:r>
          </w:p>
        </w:tc>
        <w:tc>
          <w:tcPr>
            <w:tcW w:type="dxa" w:w="43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¿La responsabilización del ofensor no depende de obtener perdón o reconciliación?</w:t>
            </w:r>
          </w:p>
        </w:tc>
        <w:tc>
          <w:tcPr>
            <w:tcW w:type="dxa" w:w="17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81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5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Reparación</w:t>
            </w:r>
          </w:p>
        </w:tc>
        <w:tc>
          <w:tcPr>
            <w:tcW w:type="dxa" w:w="43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¿Las obligaciones responden al daño y no a necesidades institucionales abstractas?</w:t>
            </w:r>
          </w:p>
        </w:tc>
        <w:tc>
          <w:tcPr>
            <w:tcW w:type="dxa" w:w="17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81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15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No impunidad</w:t>
            </w:r>
          </w:p>
        </w:tc>
        <w:tc>
          <w:tcPr>
            <w:tcW w:type="dxa" w:w="43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¿Las garantías del ofensor no se utilizan retóricamente para cerrar investigación o desconocer el daño?</w:t>
            </w:r>
          </w:p>
        </w:tc>
        <w:tc>
          <w:tcPr>
            <w:tcW w:type="dxa" w:w="17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81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bl>
    <w:p>
      <w:pPr>
        <w:spacing w:after="40"/>
      </w:pPr>
    </w:p>
    <w:p>
      <w:pPr>
        <w:pStyle w:val="Heading1"/>
      </w:pPr>
      <w:r>
        <w:t>7. Escala dual de valoración</w:t>
      </w:r>
    </w:p>
    <w:p>
      <w:r>
        <w:t>Puntúe cada indicador: 0 = ausente o vulnerado; 1 = formal/débil; 2 = parcial; 3 = sólido y verificable. No compense un eje con otro: deben leerse separadamente.</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900"/>
            <w:shd w:fill="1F4D78"/>
            <w:vAlign w:val="center"/>
          </w:tcPr>
          <w:p>
            <w:pPr>
              <w:widowControl/>
              <w:spacing w:after="20" w:line="252" w:lineRule="auto"/>
            </w:pPr>
            <w:r/>
            <w:r>
              <w:rPr>
                <w:rFonts w:ascii="Calibri" w:hAnsi="Calibri"/>
                <w:b/>
                <w:color w:val="FFFFFF"/>
                <w:sz w:val="16"/>
              </w:rPr>
              <w:t>Eje</w:t>
            </w:r>
          </w:p>
        </w:tc>
        <w:tc>
          <w:tcPr>
            <w:tcW w:type="dxa" w:w="3400"/>
            <w:shd w:fill="1F4D78"/>
            <w:vAlign w:val="center"/>
          </w:tcPr>
          <w:p>
            <w:pPr>
              <w:widowControl/>
              <w:spacing w:after="20" w:line="252" w:lineRule="auto"/>
            </w:pPr>
            <w:r/>
            <w:r>
              <w:rPr>
                <w:rFonts w:ascii="Calibri" w:hAnsi="Calibri"/>
                <w:b/>
                <w:color w:val="FFFFFF"/>
                <w:sz w:val="16"/>
              </w:rPr>
              <w:t>Indicador</w:t>
            </w:r>
          </w:p>
        </w:tc>
        <w:tc>
          <w:tcPr>
            <w:tcW w:type="dxa" w:w="950"/>
            <w:shd w:fill="1F4D78"/>
            <w:vAlign w:val="center"/>
          </w:tcPr>
          <w:p>
            <w:pPr>
              <w:widowControl/>
              <w:spacing w:after="20" w:line="252" w:lineRule="auto"/>
            </w:pPr>
            <w:r/>
            <w:r>
              <w:rPr>
                <w:rFonts w:ascii="Calibri" w:hAnsi="Calibri"/>
                <w:b/>
                <w:color w:val="FFFFFF"/>
                <w:sz w:val="16"/>
              </w:rPr>
              <w:t>Puntaje 0–3</w:t>
            </w:r>
          </w:p>
        </w:tc>
        <w:tc>
          <w:tcPr>
            <w:tcW w:type="dxa" w:w="1550"/>
            <w:shd w:fill="1F4D78"/>
            <w:vAlign w:val="center"/>
          </w:tcPr>
          <w:p>
            <w:pPr>
              <w:widowControl/>
              <w:spacing w:after="20" w:line="252" w:lineRule="auto"/>
            </w:pPr>
            <w:r/>
            <w:r>
              <w:rPr>
                <w:rFonts w:ascii="Calibri" w:hAnsi="Calibri"/>
                <w:b/>
                <w:color w:val="FFFFFF"/>
                <w:sz w:val="16"/>
              </w:rPr>
              <w:t>Evidencia</w:t>
            </w:r>
          </w:p>
        </w:tc>
        <w:tc>
          <w:tcPr>
            <w:tcW w:type="dxa" w:w="1560"/>
            <w:shd w:fill="1F4D78"/>
            <w:vAlign w:val="center"/>
          </w:tcPr>
          <w:p>
            <w:pPr>
              <w:widowControl/>
              <w:spacing w:after="20" w:line="252" w:lineRule="auto"/>
            </w:pPr>
            <w:r/>
            <w:r>
              <w:rPr>
                <w:rFonts w:ascii="Calibri" w:hAnsi="Calibri"/>
                <w:b/>
                <w:color w:val="FFFFFF"/>
                <w:sz w:val="16"/>
              </w:rPr>
              <w:t>Observaciones</w:t>
            </w:r>
          </w:p>
        </w:tc>
      </w:tr>
      <w:tr>
        <w:trPr>
          <w:cantSplit/>
        </w:trPr>
        <w:tc>
          <w:tcPr>
            <w:tcW w:type="dxa" w:w="19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A. Garantías de la persona ofensora</w:t>
            </w:r>
          </w:p>
        </w:tc>
        <w:tc>
          <w:tcPr>
            <w:tcW w:type="dxa" w:w="34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Defensa técnica e información comprensible</w:t>
            </w:r>
          </w:p>
        </w:tc>
        <w:tc>
          <w:tcPr>
            <w:tcW w:type="dxa" w:w="9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5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5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9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A</w:t>
            </w:r>
          </w:p>
        </w:tc>
        <w:tc>
          <w:tcPr>
            <w:tcW w:type="dxa" w:w="34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Voluntariedad y revocabilidad</w:t>
            </w:r>
          </w:p>
        </w:tc>
        <w:tc>
          <w:tcPr>
            <w:tcW w:type="dxa" w:w="9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5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5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19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A</w:t>
            </w:r>
          </w:p>
        </w:tc>
        <w:tc>
          <w:tcPr>
            <w:tcW w:type="dxa" w:w="34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No autoincriminación y confidencialidad</w:t>
            </w:r>
          </w:p>
        </w:tc>
        <w:tc>
          <w:tcPr>
            <w:tcW w:type="dxa" w:w="9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5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5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9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A</w:t>
            </w:r>
          </w:p>
        </w:tc>
        <w:tc>
          <w:tcPr>
            <w:tcW w:type="dxa" w:w="34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Participación efectiva y ajustes</w:t>
            </w:r>
          </w:p>
        </w:tc>
        <w:tc>
          <w:tcPr>
            <w:tcW w:type="dxa" w:w="9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5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5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19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A</w:t>
            </w:r>
          </w:p>
        </w:tc>
        <w:tc>
          <w:tcPr>
            <w:tcW w:type="dxa" w:w="34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Legalidad, revisión y proporcionalidad</w:t>
            </w:r>
          </w:p>
        </w:tc>
        <w:tc>
          <w:tcPr>
            <w:tcW w:type="dxa" w:w="9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5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5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9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A</w:t>
            </w:r>
          </w:p>
        </w:tc>
        <w:tc>
          <w:tcPr>
            <w:tcW w:type="dxa" w:w="34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Dignidad, privacidad y no estigmatización</w:t>
            </w:r>
          </w:p>
        </w:tc>
        <w:tc>
          <w:tcPr>
            <w:tcW w:type="dxa" w:w="9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5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5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19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B. Responsabilización y reintegración</w:t>
            </w:r>
          </w:p>
        </w:tc>
        <w:tc>
          <w:tcPr>
            <w:tcW w:type="dxa" w:w="34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Reconocimiento libre de conducta y daño</w:t>
            </w:r>
          </w:p>
        </w:tc>
        <w:tc>
          <w:tcPr>
            <w:tcW w:type="dxa" w:w="9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5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5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9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B</w:t>
            </w:r>
          </w:p>
        </w:tc>
        <w:tc>
          <w:tcPr>
            <w:tcW w:type="dxa" w:w="34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Motivación y plan de cambio</w:t>
            </w:r>
          </w:p>
        </w:tc>
        <w:tc>
          <w:tcPr>
            <w:tcW w:type="dxa" w:w="9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5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5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19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B</w:t>
            </w:r>
          </w:p>
        </w:tc>
        <w:tc>
          <w:tcPr>
            <w:tcW w:type="dxa" w:w="34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Intervención especializada y no repetición</w:t>
            </w:r>
          </w:p>
        </w:tc>
        <w:tc>
          <w:tcPr>
            <w:tcW w:type="dxa" w:w="9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5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5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9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B</w:t>
            </w:r>
          </w:p>
        </w:tc>
        <w:tc>
          <w:tcPr>
            <w:tcW w:type="dxa" w:w="34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Proyecto de vida y red protectora</w:t>
            </w:r>
          </w:p>
        </w:tc>
        <w:tc>
          <w:tcPr>
            <w:tcW w:type="dxa" w:w="9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5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5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19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B</w:t>
            </w:r>
          </w:p>
        </w:tc>
        <w:tc>
          <w:tcPr>
            <w:tcW w:type="dxa" w:w="34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Apoyo material y postegreso</w:t>
            </w:r>
          </w:p>
        </w:tc>
        <w:tc>
          <w:tcPr>
            <w:tcW w:type="dxa" w:w="9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5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5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9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B</w:t>
            </w:r>
          </w:p>
        </w:tc>
        <w:tc>
          <w:tcPr>
            <w:tcW w:type="dxa" w:w="34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Cumplimiento sostenible y desistimiento</w:t>
            </w:r>
          </w:p>
        </w:tc>
        <w:tc>
          <w:tcPr>
            <w:tcW w:type="dxa" w:w="9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5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5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19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C. Derechos de la víctima</w:t>
            </w:r>
          </w:p>
        </w:tc>
        <w:tc>
          <w:tcPr>
            <w:tcW w:type="dxa" w:w="34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Seguridad y protección</w:t>
            </w:r>
          </w:p>
        </w:tc>
        <w:tc>
          <w:tcPr>
            <w:tcW w:type="dxa" w:w="9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5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5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9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C</w:t>
            </w:r>
          </w:p>
        </w:tc>
        <w:tc>
          <w:tcPr>
            <w:tcW w:type="dxa" w:w="34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Voluntariedad, agencia y derecho a retirarse</w:t>
            </w:r>
          </w:p>
        </w:tc>
        <w:tc>
          <w:tcPr>
            <w:tcW w:type="dxa" w:w="9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5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5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19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C</w:t>
            </w:r>
          </w:p>
        </w:tc>
        <w:tc>
          <w:tcPr>
            <w:tcW w:type="dxa" w:w="34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No revictimización y no perdón obligatorio</w:t>
            </w:r>
          </w:p>
        </w:tc>
        <w:tc>
          <w:tcPr>
            <w:tcW w:type="dxa" w:w="9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5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5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9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C</w:t>
            </w:r>
          </w:p>
        </w:tc>
        <w:tc>
          <w:tcPr>
            <w:tcW w:type="dxa" w:w="34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Reparación integral y cumplimiento</w:t>
            </w:r>
          </w:p>
        </w:tc>
        <w:tc>
          <w:tcPr>
            <w:tcW w:type="dxa" w:w="9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5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5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19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C</w:t>
            </w:r>
          </w:p>
        </w:tc>
        <w:tc>
          <w:tcPr>
            <w:tcW w:type="dxa" w:w="34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Acceso a justicia y no impunidad</w:t>
            </w:r>
          </w:p>
        </w:tc>
        <w:tc>
          <w:tcPr>
            <w:tcW w:type="dxa" w:w="9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55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5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19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C</w:t>
            </w:r>
          </w:p>
        </w:tc>
        <w:tc>
          <w:tcPr>
            <w:tcW w:type="dxa" w:w="34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Satisfacción y transformación</w:t>
            </w:r>
          </w:p>
        </w:tc>
        <w:tc>
          <w:tcPr>
            <w:tcW w:type="dxa" w:w="9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55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5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bl>
    <w:p>
      <w:pPr>
        <w:spacing w:after="40"/>
      </w:pP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00"/>
            <w:shd w:fill="1F4D78"/>
            <w:vAlign w:val="center"/>
          </w:tcPr>
          <w:p>
            <w:pPr>
              <w:widowControl/>
              <w:spacing w:after="20" w:line="252" w:lineRule="auto"/>
            </w:pPr>
            <w:r/>
            <w:r>
              <w:rPr>
                <w:rFonts w:ascii="Calibri" w:hAnsi="Calibri"/>
                <w:b/>
                <w:color w:val="FFFFFF"/>
                <w:sz w:val="16"/>
              </w:rPr>
              <w:t>Resultado por eje</w:t>
            </w:r>
          </w:p>
        </w:tc>
        <w:tc>
          <w:tcPr>
            <w:tcW w:type="dxa" w:w="7460"/>
            <w:shd w:fill="1F4D78"/>
            <w:vAlign w:val="center"/>
          </w:tcPr>
          <w:p>
            <w:pPr>
              <w:widowControl/>
              <w:spacing w:after="20" w:line="252" w:lineRule="auto"/>
            </w:pPr>
            <w:r/>
            <w:r>
              <w:rPr>
                <w:rFonts w:ascii="Calibri" w:hAnsi="Calibri"/>
                <w:b/>
                <w:color w:val="FFFFFF"/>
                <w:sz w:val="16"/>
              </w:rPr>
              <w:t>Lectura sugerida</w:t>
            </w:r>
          </w:p>
        </w:tc>
      </w:tr>
      <w:tr>
        <w:trPr>
          <w:cantSplit/>
        </w:trPr>
        <w:tc>
          <w:tcPr>
            <w:tcW w:type="dxa" w:w="19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0–6</w:t>
            </w:r>
          </w:p>
        </w:tc>
        <w:tc>
          <w:tcPr>
            <w:tcW w:type="dxa" w:w="74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Crítico: vulneración o ausencia de condiciones materiales.</w:t>
            </w:r>
          </w:p>
        </w:tc>
      </w:tr>
      <w:tr>
        <w:trPr>
          <w:cantSplit/>
        </w:trPr>
        <w:tc>
          <w:tcPr>
            <w:tcW w:type="dxa" w:w="19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7–11</w:t>
            </w:r>
          </w:p>
        </w:tc>
        <w:tc>
          <w:tcPr>
            <w:tcW w:type="dxa" w:w="74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Débil: garantías o resultados predominantemente formales.</w:t>
            </w:r>
          </w:p>
        </w:tc>
      </w:tr>
      <w:tr>
        <w:trPr>
          <w:cantSplit/>
        </w:trPr>
        <w:tc>
          <w:tcPr>
            <w:tcW w:type="dxa" w:w="19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12–15</w:t>
            </w:r>
          </w:p>
        </w:tc>
        <w:tc>
          <w:tcPr>
            <w:tcW w:type="dxa" w:w="74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Parcial: avances con vacíos relevantes que exigen corrección.</w:t>
            </w:r>
          </w:p>
        </w:tc>
      </w:tr>
      <w:tr>
        <w:trPr>
          <w:cantSplit/>
        </w:trPr>
        <w:tc>
          <w:tcPr>
            <w:tcW w:type="dxa" w:w="19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16–18</w:t>
            </w:r>
          </w:p>
        </w:tc>
        <w:tc>
          <w:tcPr>
            <w:tcW w:type="dxa" w:w="74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Sólido: cumplimiento consistente, verificable y sostenible.</w:t>
            </w:r>
          </w:p>
        </w:tc>
      </w:tr>
    </w:tbl>
    <w:p>
      <w:pPr>
        <w:spacing w:after="40"/>
      </w:pPr>
    </w:p>
    <w:tbl>
      <w:tblPr>
        <w:tblW w:type="auto" w:w="0"/>
        <w:jc w:val="center"/>
        <w:tblLayout w:type="fixed"/>
        <w:tblLook w:firstColumn="1" w:firstRow="1" w:lastColumn="0" w:lastRow="0" w:noHBand="0" w:noVBand="1" w:val="04A0"/>
      </w:tblPr>
      <w:tblGrid>
        <w:gridCol w:w="10224"/>
      </w:tblGrid>
      <w:tr>
        <w:trPr/>
        <w:tc>
          <w:tcPr>
            <w:tcW w:type="dxa" w:w="9360"/>
            <w:shd w:fill="EEF3F8"/>
            <w:tcMar>
              <w:top w:w="120" w:type="dxa"/>
              <w:start w:w="160" w:type="dxa"/>
              <w:bottom w:w="120" w:type="dxa"/>
              <w:end w:w="160" w:type="dxa"/>
            </w:tcMar>
          </w:tcPr>
          <w:p>
            <w:pPr>
              <w:widowControl/>
              <w:spacing w:after="0"/>
            </w:pPr>
            <w:r>
              <w:rPr>
                <w:b/>
                <w:color w:val="1F4D78"/>
              </w:rPr>
              <w:t xml:space="preserve">Regla de resultado. </w:t>
            </w:r>
            <w:r>
              <w:rPr>
                <w:sz w:val="19"/>
              </w:rPr>
              <w:t>No calificar el caso como restaurativo exitoso si cualquiera de los ejes A, B o C obtiene menos de 12 puntos, o si se activa una causal de exclusión. Un puntaje alto global no borra una vulneración grave.</w:t>
            </w:r>
          </w:p>
        </w:tc>
      </w:tr>
    </w:tbl>
    <w:p>
      <w:pPr>
        <w:spacing w:after="40"/>
      </w:pPr>
    </w:p>
    <w:p>
      <w:pPr>
        <w:pStyle w:val="Heading1"/>
      </w:pPr>
      <w:r>
        <w:t>8. Guías de entrevista y revisión documental</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800"/>
            <w:shd w:fill="1F4D78"/>
            <w:vAlign w:val="center"/>
          </w:tcPr>
          <w:p>
            <w:pPr>
              <w:widowControl/>
              <w:spacing w:after="20" w:line="252" w:lineRule="auto"/>
            </w:pPr>
            <w:r/>
            <w:r>
              <w:rPr>
                <w:rFonts w:ascii="Calibri" w:hAnsi="Calibri"/>
                <w:b/>
                <w:color w:val="FFFFFF"/>
                <w:sz w:val="16"/>
              </w:rPr>
              <w:t>Actor / fuente</w:t>
            </w:r>
          </w:p>
        </w:tc>
        <w:tc>
          <w:tcPr>
            <w:tcW w:type="dxa" w:w="7560"/>
            <w:shd w:fill="1F4D78"/>
            <w:vAlign w:val="center"/>
          </w:tcPr>
          <w:p>
            <w:pPr>
              <w:widowControl/>
              <w:spacing w:after="20" w:line="252" w:lineRule="auto"/>
            </w:pPr>
            <w:r/>
            <w:r>
              <w:rPr>
                <w:rFonts w:ascii="Calibri" w:hAnsi="Calibri"/>
                <w:b/>
                <w:color w:val="FFFFFF"/>
                <w:sz w:val="16"/>
              </w:rPr>
              <w:t>Preguntas sugeridas / evidencia</w:t>
            </w:r>
          </w:p>
        </w:tc>
      </w:tr>
      <w:tr>
        <w:trPr>
          <w:cantSplit/>
        </w:trPr>
        <w:tc>
          <w:tcPr>
            <w:tcW w:type="dxa" w:w="18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Persona ofensora</w:t>
            </w:r>
          </w:p>
        </w:tc>
        <w:tc>
          <w:tcPr>
            <w:tcW w:type="dxa" w:w="75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¿Quién le explicó sus derechos y alternativas? ¿Pudo hablar en privado con su defensa? ¿Qué entendió sobre el uso de sus declaraciones? ¿Sintió presión para admitir, disculparse o aceptar obligaciones? ¿Pudo proponer o rechazar condiciones? ¿Qué cambió en su comprensión del daño? ¿Qué apoyos necesita para no repetir y sostener su proyecto de vida?</w:t>
            </w:r>
          </w:p>
        </w:tc>
      </w:tr>
      <w:tr>
        <w:trPr>
          <w:cantSplit/>
        </w:trPr>
        <w:tc>
          <w:tcPr>
            <w:tcW w:type="dxa" w:w="18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Defensa técnica</w:t>
            </w:r>
          </w:p>
        </w:tc>
        <w:tc>
          <w:tcPr>
            <w:tcW w:type="dxa" w:w="75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¿Cuándo intervino? ¿Cómo verificó comprensión, voluntariedad y efectos procesales? ¿Revisó confidencialidad, proporcionalidad, viabilidad y consecuencias del incumplimiento? ¿Existieron conflictos entre estrategia defensiva y participación restaurativa?</w:t>
            </w:r>
          </w:p>
        </w:tc>
      </w:tr>
      <w:tr>
        <w:trPr>
          <w:cantSplit/>
        </w:trPr>
        <w:tc>
          <w:tcPr>
            <w:tcW w:type="dxa" w:w="18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Víctima/sobreviviente</w:t>
            </w:r>
          </w:p>
        </w:tc>
        <w:tc>
          <w:tcPr>
            <w:tcW w:type="dxa" w:w="75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¿Pudo decidir libremente? ¿Se sintió segura, escuchada y reparada? ¿Las garantías del ofensor fueron presentadas de modo respetuoso o se usaron para minimizar el daño? ¿El acuerdo se cumplió?</w:t>
            </w:r>
          </w:p>
        </w:tc>
      </w:tr>
      <w:tr>
        <w:trPr>
          <w:cantSplit/>
        </w:trPr>
        <w:tc>
          <w:tcPr>
            <w:tcW w:type="dxa" w:w="18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Facilitación</w:t>
            </w:r>
          </w:p>
        </w:tc>
        <w:tc>
          <w:tcPr>
            <w:tcW w:type="dxa" w:w="75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¿Cómo diferenció admisión restaurativa y confesión penal? ¿Cómo verificó consentimiento de ambas partes? ¿Cómo manejó asimetrías, sesgos, riesgos y múltiples ofensores? ¿Qué hizo ante retiro o incumplimiento?</w:t>
            </w:r>
          </w:p>
        </w:tc>
      </w:tr>
      <w:tr>
        <w:trPr>
          <w:cantSplit/>
        </w:trPr>
        <w:tc>
          <w:tcPr>
            <w:tcW w:type="dxa" w:w="18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Equipo psicosocial</w:t>
            </w:r>
          </w:p>
        </w:tc>
        <w:tc>
          <w:tcPr>
            <w:tcW w:type="dxa" w:w="75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¿Qué factores de riesgo, protección, desarrollo, salud y contexto identificó? ¿El plan trabaja violencia sexual y género de forma específica? ¿Cómo se mide cambio y desistimiento?</w:t>
            </w:r>
          </w:p>
        </w:tc>
      </w:tr>
      <w:tr>
        <w:trPr>
          <w:cantSplit/>
        </w:trPr>
        <w:tc>
          <w:tcPr>
            <w:tcW w:type="dxa" w:w="18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Familia / comunidad</w:t>
            </w:r>
          </w:p>
        </w:tc>
        <w:tc>
          <w:tcPr>
            <w:tcW w:type="dxa" w:w="75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¿Apoya sin encubrir, culpabilizar a la víctima o estigmatizar al ofensor? ¿Qué oportunidades concretas ofrece? ¿Qué límites de seguridad respeta?</w:t>
            </w:r>
          </w:p>
        </w:tc>
      </w:tr>
      <w:tr>
        <w:trPr>
          <w:cantSplit/>
        </w:trPr>
        <w:tc>
          <w:tcPr>
            <w:tcW w:type="dxa" w:w="18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Autoridad judicial / fiscal</w:t>
            </w:r>
          </w:p>
        </w:tc>
        <w:tc>
          <w:tcPr>
            <w:tcW w:type="dxa" w:w="75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¿Cuál fue la base legal, control, efecto procesal y vía de revisión? ¿Cómo protegió presunción de inocencia, defensa y derechos de la víctima?</w:t>
            </w:r>
          </w:p>
        </w:tc>
      </w:tr>
      <w:tr>
        <w:trPr>
          <w:cantSplit/>
        </w:trPr>
        <w:tc>
          <w:tcPr>
            <w:tcW w:type="dxa" w:w="18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Documentos</w:t>
            </w:r>
          </w:p>
        </w:tc>
        <w:tc>
          <w:tcPr>
            <w:tcW w:type="dxa" w:w="75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Revisar derivación, asesoramiento, consentimientos, evaluación de riesgo, actas, acuerdo, plan individual, informes, quejas, seguimiento, cierre y régimen de datos.</w:t>
            </w:r>
          </w:p>
        </w:tc>
      </w:tr>
    </w:tbl>
    <w:p>
      <w:pPr>
        <w:spacing w:after="40"/>
      </w:pPr>
    </w:p>
    <w:p>
      <w:pPr>
        <w:pStyle w:val="Heading1"/>
      </w:pPr>
      <w:r>
        <w:t>9. Síntesis analítica final</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4000"/>
            <w:shd w:fill="1F4D78"/>
            <w:vAlign w:val="center"/>
          </w:tcPr>
          <w:p>
            <w:pPr>
              <w:widowControl/>
              <w:spacing w:after="20" w:line="252" w:lineRule="auto"/>
            </w:pPr>
            <w:r/>
            <w:r>
              <w:rPr>
                <w:rFonts w:ascii="Calibri" w:hAnsi="Calibri"/>
                <w:b/>
                <w:color w:val="FFFFFF"/>
                <w:sz w:val="16"/>
              </w:rPr>
              <w:t>Pregunta de síntesis</w:t>
            </w:r>
          </w:p>
        </w:tc>
        <w:tc>
          <w:tcPr>
            <w:tcW w:type="dxa" w:w="2600"/>
            <w:shd w:fill="1F4D78"/>
            <w:vAlign w:val="center"/>
          </w:tcPr>
          <w:p>
            <w:pPr>
              <w:widowControl/>
              <w:spacing w:after="20" w:line="252" w:lineRule="auto"/>
            </w:pPr>
            <w:r/>
            <w:r>
              <w:rPr>
                <w:rFonts w:ascii="Calibri" w:hAnsi="Calibri"/>
                <w:b/>
                <w:color w:val="FFFFFF"/>
                <w:sz w:val="16"/>
              </w:rPr>
              <w:t>Hallazgo principal</w:t>
            </w:r>
          </w:p>
        </w:tc>
        <w:tc>
          <w:tcPr>
            <w:tcW w:type="dxa" w:w="1000"/>
            <w:shd w:fill="1F4D78"/>
            <w:vAlign w:val="center"/>
          </w:tcPr>
          <w:p>
            <w:pPr>
              <w:widowControl/>
              <w:spacing w:after="20" w:line="252" w:lineRule="auto"/>
            </w:pPr>
            <w:r/>
            <w:r>
              <w:rPr>
                <w:rFonts w:ascii="Calibri" w:hAnsi="Calibri"/>
                <w:b/>
                <w:color w:val="FFFFFF"/>
                <w:sz w:val="16"/>
              </w:rPr>
              <w:t>Solidez</w:t>
            </w:r>
          </w:p>
        </w:tc>
        <w:tc>
          <w:tcPr>
            <w:tcW w:type="dxa" w:w="1760"/>
            <w:shd w:fill="1F4D78"/>
            <w:vAlign w:val="center"/>
          </w:tcPr>
          <w:p>
            <w:pPr>
              <w:widowControl/>
              <w:spacing w:after="20" w:line="252" w:lineRule="auto"/>
            </w:pPr>
            <w:r/>
            <w:r>
              <w:rPr>
                <w:rFonts w:ascii="Calibri" w:hAnsi="Calibri"/>
                <w:b/>
                <w:color w:val="FFFFFF"/>
                <w:sz w:val="16"/>
              </w:rPr>
              <w:t>Límite / evidencia pendiente</w:t>
            </w:r>
          </w:p>
        </w:tc>
      </w:tr>
      <w:tr>
        <w:trPr>
          <w:cantSplit/>
        </w:trPr>
        <w:tc>
          <w:tcPr>
            <w:tcW w:type="dxa" w:w="40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¿Qué garantías concretas tuvo la persona ofensora y cuáles faltaron?</w:t>
            </w:r>
          </w:p>
        </w:tc>
        <w:tc>
          <w:tcPr>
            <w:tcW w:type="dxa" w:w="26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0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7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40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¿La admisión fue libre, informada y jurídicamente protegida?</w:t>
            </w:r>
          </w:p>
        </w:tc>
        <w:tc>
          <w:tcPr>
            <w:tcW w:type="dxa" w:w="26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0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7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40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¿La defensa técnica fue real o meramente formal?</w:t>
            </w:r>
          </w:p>
        </w:tc>
        <w:tc>
          <w:tcPr>
            <w:tcW w:type="dxa" w:w="26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0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7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40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¿La responsabilización produjo comprensión y cambio o solo cumplimiento instrumental?</w:t>
            </w:r>
          </w:p>
        </w:tc>
        <w:tc>
          <w:tcPr>
            <w:tcW w:type="dxa" w:w="26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0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7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40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¿El acuerdo fue proporcional, viable y revisable?</w:t>
            </w:r>
          </w:p>
        </w:tc>
        <w:tc>
          <w:tcPr>
            <w:tcW w:type="dxa" w:w="26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0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7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40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¿Qué condiciones personales y estructurales incidieron en el hecho y cómo fueron abordadas sin exculpación?</w:t>
            </w:r>
          </w:p>
        </w:tc>
        <w:tc>
          <w:tcPr>
            <w:tcW w:type="dxa" w:w="26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0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7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40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¿Qué apoyos sostienen el desistimiento y la reintegración?</w:t>
            </w:r>
          </w:p>
        </w:tc>
        <w:tc>
          <w:tcPr>
            <w:tcW w:type="dxa" w:w="26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0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7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40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¿Cómo se protegieron simultáneamente seguridad, agencia y reparación de la víctima?</w:t>
            </w:r>
          </w:p>
        </w:tc>
        <w:tc>
          <w:tcPr>
            <w:tcW w:type="dxa" w:w="26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0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7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r>
        <w:trPr>
          <w:cantSplit/>
        </w:trPr>
        <w:tc>
          <w:tcPr>
            <w:tcW w:type="dxa" w:w="40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¿Qué tensiones no pudieron resolverse y qué límites impiden presentar el caso como exitoso?</w:t>
            </w:r>
          </w:p>
        </w:tc>
        <w:tc>
          <w:tcPr>
            <w:tcW w:type="dxa" w:w="26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0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c>
          <w:tcPr>
            <w:tcW w:type="dxa" w:w="17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r>
          </w:p>
        </w:tc>
      </w:tr>
      <w:tr>
        <w:trPr>
          <w:cantSplit/>
        </w:trPr>
        <w:tc>
          <w:tcPr>
            <w:tcW w:type="dxa" w:w="40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¿Qué aprendizaje institucional deja para casos de violencia sexual?</w:t>
            </w:r>
          </w:p>
        </w:tc>
        <w:tc>
          <w:tcPr>
            <w:tcW w:type="dxa" w:w="26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0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c>
          <w:tcPr>
            <w:tcW w:type="dxa" w:w="17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r>
          </w:p>
        </w:tc>
      </w:tr>
    </w:tbl>
    <w:p>
      <w:pPr>
        <w:spacing w:after="40"/>
      </w:pPr>
    </w:p>
    <w:p>
      <w:pPr>
        <w:pStyle w:val="Heading1"/>
      </w:pPr>
      <w:r>
        <w:t>10. Criterio crítico de cierre</w:t>
      </w:r>
    </w:p>
    <w:tbl>
      <w:tblPr>
        <w:tblW w:type="auto" w:w="0"/>
        <w:jc w:val="center"/>
        <w:tblLayout w:type="fixed"/>
        <w:tblLook w:firstColumn="1" w:firstRow="1" w:lastColumn="0" w:lastRow="0" w:noHBand="0" w:noVBand="1" w:val="04A0"/>
      </w:tblPr>
      <w:tblGrid>
        <w:gridCol w:w="10224"/>
      </w:tblGrid>
      <w:tr>
        <w:trPr/>
        <w:tc>
          <w:tcPr>
            <w:tcW w:type="dxa" w:w="9360"/>
            <w:shd w:fill="EEF3F8"/>
            <w:tcMar>
              <w:top w:w="120" w:type="dxa"/>
              <w:start w:w="160" w:type="dxa"/>
              <w:bottom w:w="120" w:type="dxa"/>
              <w:end w:w="160" w:type="dxa"/>
            </w:tcMar>
          </w:tcPr>
          <w:p>
            <w:pPr>
              <w:widowControl/>
              <w:spacing w:after="0"/>
            </w:pPr>
            <w:r>
              <w:rPr>
                <w:b/>
                <w:color w:val="1F4D78"/>
              </w:rPr>
              <w:t xml:space="preserve">Conclusión analítica. </w:t>
            </w:r>
            <w:r>
              <w:rPr>
                <w:sz w:val="19"/>
              </w:rPr>
              <w:t>Un mecanismo puede considerarse restaurativo solo cuando amplía el campo de justicia sin sacrificar derechos: protege la agencia, seguridad y reparación de la víctima; asegura a la persona ofensora defensa, voluntariedad, no autoincriminación, proporcionalidad y trato digno; transforma la asunción de responsabilidad en compromisos verificables; y crea condiciones materiales, relacionales e institucionales para la no repetición y la reintegración. La defensa del ofensor no es impunidad: es la condición para que la responsabilización no sea coerción y para que el cambio pueda sostenerse.</w:t>
            </w:r>
          </w:p>
        </w:tc>
      </w:tr>
    </w:tbl>
    <w:p>
      <w:pPr>
        <w:spacing w:after="40"/>
      </w:pPr>
    </w:p>
    <w:p>
      <w:pPr>
        <w:pStyle w:val="Heading1"/>
      </w:pPr>
      <w:r>
        <w:t>11. Base documental utilizada</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700"/>
            <w:shd w:fill="1F4D78"/>
            <w:vAlign w:val="center"/>
          </w:tcPr>
          <w:p>
            <w:pPr>
              <w:widowControl/>
              <w:spacing w:after="20" w:line="252" w:lineRule="auto"/>
            </w:pPr>
            <w:r/>
            <w:r>
              <w:rPr>
                <w:rFonts w:ascii="Calibri" w:hAnsi="Calibri"/>
                <w:b/>
                <w:color w:val="FFFFFF"/>
                <w:sz w:val="16"/>
              </w:rPr>
              <w:t>Fuente</w:t>
            </w:r>
          </w:p>
        </w:tc>
        <w:tc>
          <w:tcPr>
            <w:tcW w:type="dxa" w:w="6660"/>
            <w:shd w:fill="1F4D78"/>
            <w:vAlign w:val="center"/>
          </w:tcPr>
          <w:p>
            <w:pPr>
              <w:widowControl/>
              <w:spacing w:after="20" w:line="252" w:lineRule="auto"/>
            </w:pPr>
            <w:r/>
            <w:r>
              <w:rPr>
                <w:rFonts w:ascii="Calibri" w:hAnsi="Calibri"/>
                <w:b/>
                <w:color w:val="FFFFFF"/>
                <w:sz w:val="16"/>
              </w:rPr>
              <w:t>Aporte a la matriz</w:t>
            </w:r>
          </w:p>
        </w:tc>
      </w:tr>
      <w:tr>
        <w:trPr>
          <w:cantSplit/>
        </w:trPr>
        <w:tc>
          <w:tcPr>
            <w:tcW w:type="dxa" w:w="27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Comité de los Derechos del Niño</w:t>
            </w:r>
          </w:p>
        </w:tc>
        <w:tc>
          <w:tcPr>
            <w:tcW w:type="dxa" w:w="66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Observación general núm. 24 (2019) relativa a los derechos del niño en el sistema de justicia juvenil. Criterios incorporados: medidas extrajudiciales, consentimiento, asistencia jurídica, no autoincriminación, privacidad, no estigmatización y reintegración.</w:t>
            </w:r>
          </w:p>
        </w:tc>
      </w:tr>
      <w:tr>
        <w:trPr>
          <w:cantSplit/>
        </w:trPr>
        <w:tc>
          <w:tcPr>
            <w:tcW w:type="dxa" w:w="27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Ministerio de Justicia y Transparencia Institucional / Terre des hommes</w:t>
            </w:r>
          </w:p>
        </w:tc>
        <w:tc>
          <w:tcPr>
            <w:tcW w:type="dxa" w:w="66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Guía para la aplicación de mecanismos de justicia restaurativa. Criterios incorporados: preparación separada, voluntariedad, admisión mínima, rol del equipo, encuentro, acuerdo, responsabilización, reparación y reintegración.</w:t>
            </w:r>
          </w:p>
        </w:tc>
      </w:tr>
      <w:tr>
        <w:trPr>
          <w:cantSplit/>
        </w:trPr>
        <w:tc>
          <w:tcPr>
            <w:tcW w:type="dxa" w:w="27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Ministerio de Justicia y Transparencia Institucional</w:t>
            </w:r>
          </w:p>
        </w:tc>
        <w:tc>
          <w:tcPr>
            <w:tcW w:type="dxa" w:w="66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Guía Nacional de Atención Post Egreso para Adolescentes vinculados a la Comisión del Delito. Criterios incorporados: proyecto de vida, PPERS, transición planificada, acompañamiento voluntario, familia, comunidad, servicios y prevención de estigma y reincidencia.</w:t>
            </w:r>
          </w:p>
        </w:tc>
      </w:tr>
      <w:tr>
        <w:trPr>
          <w:cantSplit/>
        </w:trPr>
        <w:tc>
          <w:tcPr>
            <w:tcW w:type="dxa" w:w="270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Ministerio de Justicia y Transparencia Institucional</w:t>
            </w:r>
          </w:p>
        </w:tc>
        <w:tc>
          <w:tcPr>
            <w:tcW w:type="dxa" w:w="6660"/>
            <w:tcMar>
              <w:top w:w="90" w:type="dxa"/>
              <w:start w:w="110" w:type="dxa"/>
              <w:bottom w:w="90" w:type="dxa"/>
              <w:end w:w="110" w:type="dxa"/>
            </w:tcMar>
            <w:vAlign w:val="center"/>
            <w:shd w:fill="F5F7FA"/>
          </w:tcPr>
          <w:p>
            <w:pPr>
              <w:widowControl/>
              <w:spacing w:after="20" w:line="252" w:lineRule="auto"/>
            </w:pPr>
            <w:r/>
            <w:r>
              <w:rPr>
                <w:rFonts w:ascii="Calibri" w:hAnsi="Calibri"/>
                <w:b w:val="0"/>
                <w:color w:val="1F2933"/>
                <w:sz w:val="16"/>
              </w:rPr>
              <w:t>Lineamientos para Centros de Reintegración Social y Centros de Orientación. Criterios incorporados: intervención socioeducativa, plan individual, especialidad, protección integral y reintegración.</w:t>
            </w:r>
          </w:p>
        </w:tc>
      </w:tr>
      <w:tr>
        <w:trPr>
          <w:cantSplit/>
        </w:trPr>
        <w:tc>
          <w:tcPr>
            <w:tcW w:type="dxa" w:w="270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Ministerio de Justicia y Transparencia Institucional</w:t>
            </w:r>
          </w:p>
        </w:tc>
        <w:tc>
          <w:tcPr>
            <w:tcW w:type="dxa" w:w="6660"/>
            <w:tcMar>
              <w:top w:w="90" w:type="dxa"/>
              <w:start w:w="110" w:type="dxa"/>
              <w:bottom w:w="90" w:type="dxa"/>
              <w:end w:w="110" w:type="dxa"/>
            </w:tcMar>
            <w:vAlign w:val="center"/>
          </w:tcPr>
          <w:p>
            <w:pPr>
              <w:widowControl/>
              <w:spacing w:after="20" w:line="252" w:lineRule="auto"/>
            </w:pPr>
            <w:r/>
            <w:r>
              <w:rPr>
                <w:rFonts w:ascii="Calibri" w:hAnsi="Calibri"/>
                <w:b w:val="0"/>
                <w:color w:val="1F2933"/>
                <w:sz w:val="16"/>
              </w:rPr>
              <w:t>Manuales especializados del Sistema Penal para Adolescentes de Bolivia. Criterios incorporados: actuación especializada, garantías, roles institucionales, ejecución y seguimiento de medidas socioeducativas.</w:t>
            </w:r>
          </w:p>
        </w:tc>
      </w:tr>
    </w:tbl>
    <w:p>
      <w:pPr>
        <w:spacing w:after="40"/>
      </w:pP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Instrumento editable de investigación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Matriz sociojurídica · Justicia restaurativa y defensa de la persona ofensora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315D7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F2933"/>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00"/>
    </w:pPr>
    <w:rPr>
      <w:rFonts w:asciiTheme="majorHAnsi" w:eastAsiaTheme="majorEastAsia" w:hAnsiTheme="majorHAnsi" w:cstheme="majorBidi" w:ascii="Calibri" w:hAnsi="Calibri"/>
      <w:b w:val="0"/>
      <w:i/>
      <w:iCs/>
      <w:color w:val="58657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Matriz de justicia restaurativa con enfoque de defensa de la persona ofensora</dc:title>
  <dc:subject>Investigación sociojurídica sobre violencia sexual, garantías y reintegración</dc:subject>
  <dc:creator>Grethel G. Ruiz Casso</dc:creator>
  <cp:keywords/>
  <dc:description>generated by python-docx</dc:description>
  <cp:lastModifiedBy/>
  <cp:revision>1</cp:revision>
  <dcterms:created xsi:type="dcterms:W3CDTF">2013-12-23T23:15:00Z</dcterms:created>
  <dcterms:modified xsi:type="dcterms:W3CDTF">2013-12-23T23:15:00Z</dcterms:modified>
  <cp:category/>
</cp:coreProperties>
</file>