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75"/>
        <w:gridCol w:w="2269"/>
        <w:gridCol w:w="851"/>
        <w:gridCol w:w="3260"/>
        <w:gridCol w:w="992"/>
        <w:gridCol w:w="1843"/>
        <w:tblGridChange w:id="0">
          <w:tblGrid>
            <w:gridCol w:w="1275"/>
            <w:gridCol w:w="2269"/>
            <w:gridCol w:w="851"/>
            <w:gridCol w:w="3260"/>
            <w:gridCol w:w="992"/>
            <w:gridCol w:w="1843"/>
          </w:tblGrid>
        </w:tblGridChange>
      </w:tblGrid>
      <w:tr>
        <w:trPr>
          <w:cantSplit w:val="1"/>
          <w:trHeight w:val="37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nstituto Tecnológico de Tepic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Revisión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Coordinador de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Franciso Ibarra Carlo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pos="2474"/>
              </w:tabs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UD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Reunión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99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120"/>
        <w:gridCol w:w="3689"/>
        <w:gridCol w:w="710"/>
        <w:gridCol w:w="580"/>
        <w:tblGridChange w:id="0">
          <w:tblGrid>
            <w:gridCol w:w="3120"/>
            <w:gridCol w:w="3689"/>
            <w:gridCol w:w="710"/>
            <w:gridCol w:w="580"/>
          </w:tblGrid>
        </w:tblGridChange>
      </w:tblGrid>
      <w:tr>
        <w:trPr>
          <w:cantSplit w:val="1"/>
          <w:trHeight w:val="351" w:hRule="atLeast"/>
          <w:tblHeader w:val="1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y 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Jesús Mata Solís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Osmar Aldahir Guerra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Guillermo Hilario Santos Moya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Villegas Samartín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Daniel López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Manuel Durán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Jesus Daniel Gutierrez Aguirre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7620"/>
        </w:tabs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096"/>
        <w:gridCol w:w="2551"/>
        <w:gridCol w:w="1843"/>
        <w:tblGridChange w:id="0">
          <w:tblGrid>
            <w:gridCol w:w="6096"/>
            <w:gridCol w:w="2551"/>
            <w:gridCol w:w="1843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de exposición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de Proyecto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SmartHealth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Franciso Ibarra Carlo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7" w:hRule="atLeast"/>
          <w:tblHeader w:val="0"/>
        </w:trP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Relatoría: Una vez que se dio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presentación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a la orden del día (I).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(II) Se procedió con la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corrección del proyecto con las observaciones dadas por el Dr. Francisco Ibarra Carlo y compañeros de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(III)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propusieron las correcciones que se presentan a continuación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 de línea: muestra línea incorrecta (del text box de tokens usar la línea que muestra para la consola)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Terminar de adaptar colores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Función con gramáticas y AFD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Revisar que diga error léxico (ejemplo al añadir un 0)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Elaborar un programa o caso de uso más apegado a la funcionalidad final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Poner los parámetros de la función que genera un error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pos="6946"/>
          <w:tab w:val="left" w:pos="13750"/>
        </w:tabs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946"/>
          <w:tab w:val="left" w:pos="13750"/>
        </w:tabs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606"/>
        <w:gridCol w:w="2552"/>
        <w:gridCol w:w="1559"/>
        <w:gridCol w:w="1843"/>
        <w:tblGridChange w:id="0">
          <w:tblGrid>
            <w:gridCol w:w="4606"/>
            <w:gridCol w:w="2552"/>
            <w:gridCol w:w="1559"/>
            <w:gridCol w:w="1843"/>
          </w:tblGrid>
        </w:tblGridChange>
      </w:tblGrid>
      <w:tr>
        <w:trPr>
          <w:cantSplit w:val="1"/>
          <w:trHeight w:val="259" w:hRule="atLeast"/>
          <w:tblHeader w:val="1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Acuerdos y Compromisos pendientes de revisar estatus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Fecha 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Analizador léxico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ind w:left="72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36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Analizador Sintáctico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ind w:left="72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1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jc w:val="both"/>
              <w:rPr>
                <w:rFonts w:ascii="Arial" w:cs="Arial" w:eastAsia="Arial" w:hAnsi="Arial"/>
                <w:color w:val="222222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Interfaz gráfica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TODOS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hd w:fill="ffffff" w:val="clear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Tabla de análisis de tokens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Sobresaltado de palabras reservadas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Tabla de análisis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120"/>
        <w:gridCol w:w="7370"/>
        <w:tblGridChange w:id="0">
          <w:tblGrid>
            <w:gridCol w:w="3120"/>
            <w:gridCol w:w="7370"/>
          </w:tblGrid>
        </w:tblGridChange>
      </w:tblGrid>
      <w:tr>
        <w:trPr>
          <w:cantSplit w:val="1"/>
          <w:trHeight w:val="351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Jesús Mata Solís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Juan Jesús Mata Solís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Osmar Aldahir Guerra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Osmar Aldahir Guerra Castillo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Guillermo Hilario Santos Moya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Guillermo Hilario Santos Moya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Villegas Samartín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Ximena Villegas Samartín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Daniel López Quintero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Daniel López Quintero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Manuel Durán Sánchez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Juan Manuel Durán Sánchez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Jesus Daniel Gutierrez Aguirre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Jesus Daniel Gutierrez Aguirre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Los que suscriben en el apartado de acuerdos y compromisos, reconocen realizarlos.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Elaboró minuta: Osmar Aldahir Guerra Castillo</w:t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709" w:top="1135" w:left="720" w:right="1080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mic Sans MS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left" w:pos="7738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39775" cy="45656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775" cy="4565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MINUTA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533400</wp:posOffset>
              </wp:positionV>
              <wp:extent cx="65506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0670" y="3780000"/>
                        <a:ext cx="655066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C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533400</wp:posOffset>
              </wp:positionV>
              <wp:extent cx="655066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06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left" w:pos="7738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