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1F2FD" w14:textId="2E3AAE67" w:rsidR="00457B2F" w:rsidRDefault="0062495E" w:rsidP="00445B80">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C41833B" w14:textId="77777777" w:rsidR="00A92BBA" w:rsidRPr="00A92BBA" w:rsidRDefault="00A92BBA" w:rsidP="00A92BBA">
      <w:pPr>
        <w:ind w:right="-234"/>
        <w:jc w:val="center"/>
        <w:rPr>
          <w:rFonts w:ascii="Arial" w:eastAsia="Times New Roman" w:hAnsi="Arial" w:cs="Arial"/>
          <w:b/>
          <w:bCs/>
          <w:color w:val="000000"/>
          <w:lang w:val="es-CO" w:eastAsia="es-CO"/>
        </w:rPr>
      </w:pPr>
    </w:p>
    <w:p w14:paraId="1DB25574" w14:textId="49E3864D"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identificado/a con {GENERO_ID} {CEDULA}</w:t>
      </w:r>
      <w:r w:rsidR="000F0E49">
        <w:rPr>
          <w:rFonts w:ascii="Arial" w:eastAsia="Times New Roman" w:hAnsi="Arial" w:cs="Arial"/>
          <w:color w:val="000000"/>
          <w:lang w:val="es-CO" w:eastAsia="es-CO"/>
        </w:rPr>
        <w:t xml:space="preserve"> </w:t>
      </w:r>
      <w:r>
        <w:rPr>
          <w:rFonts w:ascii="Arial" w:eastAsia="Times New Roman" w:hAnsi="Arial" w:cs="Arial"/>
          <w:color w:val="000000"/>
          <w:lang w:val="es-CO" w:eastAsia="es-CO"/>
        </w:rPr>
        <w:t xml:space="preserve">expedida en {CIUDAD_EXP}, de estado civil {ESTADO_CIVIL}, con domicilio en la ciudad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DOMICILIO</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071BA375"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el 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y por el OESTE,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No obstante, la alinderación descrita, la venta se realiza como cuerpo cierto de conformidad con el artículo 1887 del Código Civil.</w:t>
      </w:r>
    </w:p>
    <w:p w14:paraId="630BB1D6" w14:textId="2CC02E79"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se realizará en el marco del proceso de subdivisión predial que adelantará LA PROMITENTE </w:t>
      </w:r>
      <w:r>
        <w:rPr>
          <w:rFonts w:ascii="Arial" w:eastAsia="Times New Roman" w:hAnsi="Arial" w:cs="Arial"/>
          <w:color w:val="000000"/>
          <w:lang w:val="es-CO" w:eastAsia="es-CO"/>
        </w:rPr>
        <w:lastRenderedPageBreak/>
        <w:t xml:space="preserve">VENDEDORA ante las autoridades competentes, como condición previa a la suscripción de la escritura pública individual de compraventa. Lo anterior es de conocimiento pleno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1939A7F0"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w:t>
      </w:r>
      <w:r w:rsidR="000F0E49">
        <w:rPr>
          <w:rFonts w:ascii="Arial" w:eastAsia="Times New Roman" w:hAnsi="Arial" w:cs="Arial"/>
          <w:b/>
          <w:bCs/>
          <w:color w:val="000000"/>
          <w:lang w:val="es-CO" w:eastAsia="es-CO"/>
        </w:rPr>
        <w:t>{</w:t>
      </w:r>
      <w:r>
        <w:rPr>
          <w:rFonts w:ascii="Arial" w:eastAsia="Times New Roman" w:hAnsi="Arial" w:cs="Arial"/>
          <w:b/>
          <w:bCs/>
          <w:color w:val="000000"/>
          <w:lang w:val="es-CO" w:eastAsia="es-CO"/>
        </w:rPr>
        <w:t>PRECIO_TEXTO</w:t>
      </w:r>
      <w:r w:rsidR="000F0E49">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w:t>
      </w:r>
      <w:r>
        <w:rPr>
          <w:rFonts w:ascii="Arial" w:eastAsia="Times New Roman" w:hAnsi="Arial" w:cs="Arial"/>
          <w:b/>
          <w:bCs/>
          <w:color w:val="000000"/>
          <w:lang w:val="es-CO" w:eastAsia="es-CO"/>
        </w:rPr>
        <w: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PRECIO_NUM</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moneda corriente,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pagará a LA PROMITENTE VENDEDORA así:  </w:t>
      </w:r>
    </w:p>
    <w:p w14:paraId="553B8DF9" w14:textId="6D3F3BF4"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 xml:space="preserve">De contado </w:t>
      </w:r>
      <w:r w:rsidR="000F0E49">
        <w:rPr>
          <w:rFonts w:ascii="Arial" w:eastAsia="Times New Roman" w:hAnsi="Arial" w:cs="Arial"/>
          <w:b/>
          <w:bCs/>
          <w:i/>
          <w:iCs/>
          <w:color w:val="000000"/>
          <w:lang w:val="es-CO" w:eastAsia="es-CO"/>
        </w:rPr>
        <w:t>{</w:t>
      </w:r>
      <w:r>
        <w:rPr>
          <w:rFonts w:ascii="Arial" w:eastAsia="Times New Roman" w:hAnsi="Arial" w:cs="Arial"/>
          <w:b/>
          <w:bCs/>
          <w:i/>
          <w:iCs/>
          <w:color w:val="000000"/>
          <w:lang w:val="es-CO" w:eastAsia="es-CO"/>
        </w:rPr>
        <w:t>PAGO_TIPO</w:t>
      </w:r>
      <w:r w:rsidR="000F0E49">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 xml:space="preserve">Financiado </w:t>
      </w:r>
      <w:r w:rsidR="000F0E49">
        <w:rPr>
          <w:rFonts w:ascii="Arial" w:eastAsia="Times New Roman" w:hAnsi="Arial" w:cs="Arial"/>
          <w:b/>
          <w:bCs/>
          <w:i/>
          <w:iCs/>
          <w:color w:val="000000"/>
          <w:lang w:val="es-CO" w:eastAsia="es-CO"/>
        </w:rPr>
        <w:t>{</w:t>
      </w:r>
      <w:r>
        <w:rPr>
          <w:rFonts w:ascii="Arial" w:eastAsia="Times New Roman" w:hAnsi="Arial" w:cs="Arial"/>
          <w:b/>
          <w:bCs/>
          <w:i/>
          <w:iCs/>
          <w:color w:val="000000"/>
          <w:lang w:val="es-CO" w:eastAsia="es-CO"/>
        </w:rPr>
        <w:t>PAGO_TIPO_FIN</w:t>
      </w:r>
      <w:r w:rsidR="000F0E49">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así:</w:t>
      </w:r>
    </w:p>
    <w:p w14:paraId="002D472B" w14:textId="6D25CFE3"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Una cuota inicial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moneda corriente, que se recibirá al momento de la firma del presente contrato, valor que LA PROMITENTE VENDEDORA declara recibir a entera satisfacción.</w:t>
      </w:r>
    </w:p>
    <w:p w14:paraId="7A9881C4" w14:textId="0689B4B4"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saldo restante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pagadero en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NUM_CUOTAS</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cuotas mensuales iguales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cada una, y una cuota final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CUOTA_FINAL_T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CUOTA_FINAL_N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pagaderas a partir del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FECHA_INICIO_P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5C42763D"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en la Cláusula Segunda; (2) que el proyecto urbanístico ARAGUATOS cuente con las redes de servicios públicos de acueducto, alcantarillado y energía debidamente construidas y habilitadas para la prestación del servicio; y (3)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impedirá la escrituración y no 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PARÁGRAFO: LA PROMITENTE VENDEDORA se obliga a adelantar, gestionar y ejecutar las obras de urbanismo correspondientes al proyecto ARAGUATOS, así como los trámites de subdivisión predial, individualización catastral y demás gestiones ante las autoridades 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70250B9D"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Los demás impuestos y cargas derivados de la transferencia y registro del inmueble a nombre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serán asumidos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7BAB65B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al lote, con independencia de que la escrituración se haya perfeccionado o no en dicho momento.</w:t>
      </w:r>
    </w:p>
    <w:p w14:paraId="69111225" w14:textId="1711334A"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lastRenderedPageBreak/>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razón de que el predio de mayor extensión proviene de una escritura global y se encuentra en proceso de urbanización bajo el 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como propia la carga tributaria municipal que recaiga sobre dicho lote, con independencia de la fecha en que se suscriba la escritura pública. LA PROMITENTE VENDEDORA notificará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escrito dentro de los diez (10) días hábiles siguientes a la asignación de la ficha catastral.</w:t>
      </w:r>
    </w:p>
    <w:p w14:paraId="4EF20024" w14:textId="5880F578"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el evento en que, por razones del proceso de facturación municipal, el impuesto predial del lote sea liquidado inicialmente a nombre de LA PROMITENTE VENDEDORA con posterioridad a la asignación de la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442979B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La suscripción de la escritura pública de compraventa individual estará condicionada, además de los requisitos previstos en la Cláusula Tercera, a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sobre el lote impedirá la escrituración y no constituirá incumplimiento imputable a LA PROMITENTE VENDEDORA, ni dará lugar a la aplicación de la cláusula penal en su contra.</w:t>
      </w:r>
    </w:p>
    <w:p w14:paraId="3D65789A" w14:textId="4D0082E1"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responsabilidad exclusiva de LA PROMITENTE VENDEDORA,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38F0B30F"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Las sumas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durante la vigencia del presente contrato tendrán naturaleza de arras penitenciales conforme al artículo 1859 del Código Civil y constituyen estimación anticipada de perjuicios conforme al artículo 1592 ibidem. Las consecuencias económicas se regularán de manera diferenciada según el evento que origine la terminación:</w:t>
      </w:r>
    </w:p>
    <w:p w14:paraId="2F78400A" w14:textId="20C16756"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A. RETRACTO VOLUNTARIO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333D79DA" w14:textId="4C13FDC7"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retracto voluntario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notifique por escrito su decisión de no continuar con el contrato, encontrándose al día en la totalidad de sus obligaciones de pago a la fecha de dicha comunicación. En este caso, LA PROMITENTE VENDEDORA retendrá el veinte por ciento (20%) del total de las sumas efectivamente pagadas hasta la fecha del retracto, a título de arras penitenciales y cláusula penal compensatoria, y devolverá el ochenta por ciento (80%) restante dentro de los noventa (90) días calendario siguientes, una vez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estar al día en sus obligaciones tributarias conforme a la Cláusula Sexta.</w:t>
      </w:r>
    </w:p>
    <w:p w14:paraId="58787F34" w14:textId="12D0E5C8"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B. INCUMPLIMIENTO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7363A046" w14:textId="5F3B710C"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deje de pagar tres (3) cuotas mensuales consecutivas; o (ii)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hasta la fecha de terminación quedarán en poder de LA PROMITENTE VENDEDORA a título de arras penitenciales y cláusula penal compensatoria, como retribución por el costo de oportunidad del lote, los gastos administrativos y comerciales incurridos y el lucro cesante generado durante el período en que el lote estuvo fuera del mercado, sin que haya lugar a devolución alguna. Las partes 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pueda reclamar compensación por mejoras no necesarias.</w:t>
      </w:r>
    </w:p>
    <w:p w14:paraId="3B741A42" w14:textId="15BE5F33"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El incumplimiento en el pago de cuotas, transcurridos cinco (5) días calendario desde su vencimiento, generará adicionalmente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intereses de mora al máximo legal vigente certificado por la Superintendencia Financiera de Colombia, liquidados sobre el valor de la cuota en mora por cada día de retardo, sin perjuicio de la obligación principal.</w:t>
      </w:r>
    </w:p>
    <w:p w14:paraId="14DB43C5" w14:textId="77777777"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C. INCUMPLIMIENTO O RETRACTO DE LA PROMITENTE VENDEDORA.</w:t>
      </w:r>
    </w:p>
    <w:p w14:paraId="3C561D51" w14:textId="7FEDF196"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En caso de que LA PROMITENTE VENDEDORA se retracte o incumpla las obligaciones a su cargo que impidan la escrituración en los términos pactados, estará obligada a restituir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la totalidad de las sumas recibidas dentro de los noventa (90) días calendario siguientes al requerimiento escrito, sin perjuicio de la acción de cumplimiento forzado que pueda ejercer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conforme a los artículos 1546 y 1610 del Código Civil.</w:t>
      </w:r>
    </w:p>
    <w:p w14:paraId="1121A6D6" w14:textId="4FE27338"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el proyecto cuente con disponibilidad efectiva de los servicios públicos de acueducto, alcantarillado y energía, así como con los respectivos diseños urbanísticos, y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aportado el soporte de pago del impuesto predial unificado y demás impuestos municipales a su cargo, conforme a lo dispuesto en la Cláusula Sexta del presente contrato. A partir de la entrega,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4CE2CF5A" w14:textId="2F047C6A" w:rsidR="00D70DAF"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Toda controversia o diferencia relativa a este contrato, su ejecución y liquidación, se resolverá por un Tribunal de Arbitramento designado por la Junta Directiva de la Cámara de Comercio de Florencia, mediante sorteo entre los árbitros inscritos en el Centro de Arbitraje y Conciliación Mercantil de dicha Cámara. El Tribunal se integrará por tres (3) árbitros, decidirá en derecho o en principios técnicos según corresponda conforme a la Ley 1563 de 2012 y demás normas concordantes, funcionando bajo las reglas del citado Centro. Una vez liquidado el contrato y recibida real y materialmente la unidad inmobiliaria, se entenderá por cumplido el objeto del presente instrumento.</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lastRenderedPageBreak/>
        <w:t>NOVENA: NOTIFICACIONES Y DOMICILIO CONTRACTUAL</w:t>
      </w:r>
    </w:p>
    <w:p w14:paraId="5F22AB1A" w14:textId="17B770CF"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recibirá notificaciones en la dirección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DIRECCION_COMP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correo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CORREO_COMP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teléfono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TELEFONO_COMP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6C593CCB" w14:textId="159F148C" w:rsidR="0089260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FECHA_FIRMA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en dos (2) ejemplares del mismo tenor y valor, uno para cada parte, procediendo al reconocimiento de firmas y contenido ante autoridad notarial.</w:t>
      </w: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4E2ADB09" w:rsidR="001417D4" w:rsidRPr="00A92BBA" w:rsidRDefault="000F0E49"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w:t>
            </w:r>
            <w:r w:rsidR="001417D4">
              <w:rPr>
                <w:rFonts w:ascii="Arial" w:eastAsia="Times New Roman" w:hAnsi="Arial" w:cs="Arial"/>
                <w:b/>
                <w:bCs/>
                <w:color w:val="000000"/>
                <w:lang w:val="es-CO" w:eastAsia="es-CO"/>
              </w:rPr>
              <w:t>TITULO_COMPRADOR</w:t>
            </w:r>
            <w:r>
              <w:rPr>
                <w:rFonts w:ascii="Arial" w:eastAsia="Times New Roman" w:hAnsi="Arial" w:cs="Arial"/>
                <w:b/>
                <w:bCs/>
                <w:color w:val="000000"/>
                <w:lang w:val="es-CO" w:eastAsia="es-CO"/>
              </w:rPr>
              <w:t>}</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71C78D5C" w:rsidR="00244284" w:rsidRPr="00A92BBA" w:rsidRDefault="000F0E49" w:rsidP="00A92BBA">
            <w:pPr>
              <w:spacing w:before="240"/>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w:t>
            </w:r>
            <w:r w:rsidR="00244284">
              <w:rPr>
                <w:rFonts w:ascii="Arial" w:eastAsia="Times New Roman" w:hAnsi="Arial" w:cs="Arial"/>
                <w:color w:val="000000"/>
                <w:lang w:val="es-CO" w:eastAsia="es-CO"/>
              </w:rPr>
              <w:t>NOMBRE_COMPLETO</w:t>
            </w:r>
            <w:r>
              <w:rPr>
                <w:rFonts w:ascii="Arial" w:eastAsia="Times New Roman" w:hAnsi="Arial" w:cs="Arial"/>
                <w:color w:val="000000"/>
                <w:lang w:val="es-CO" w:eastAsia="es-CO"/>
              </w:rPr>
              <w:t>}</w:t>
            </w:r>
          </w:p>
          <w:p w14:paraId="476CF15D" w14:textId="48CA4DE4" w:rsidR="001417D4" w:rsidRPr="00A92BBA" w:rsidRDefault="001417D4" w:rsidP="00A92BBA">
            <w:pPr>
              <w:spacing w:before="240"/>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C.C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CC_COMPRADOR</w:t>
            </w:r>
            <w:r w:rsidR="000F0E49">
              <w:rPr>
                <w:rFonts w:ascii="Arial" w:eastAsia="Times New Roman" w:hAnsi="Arial" w:cs="Arial"/>
                <w:color w:val="000000"/>
                <w:lang w:val="es-CO" w:eastAsia="es-CO"/>
              </w:rPr>
              <w:t>}</w:t>
            </w:r>
          </w:p>
          <w:p w14:paraId="5F35B0A3" w14:textId="6988460B" w:rsidR="001417D4" w:rsidRPr="00A92BBA" w:rsidRDefault="001417D4" w:rsidP="00A92BBA">
            <w:pPr>
              <w:spacing w:before="240"/>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Cel.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CEL_COMPRADOR</w:t>
            </w:r>
            <w:r w:rsidR="000F0E49">
              <w:rPr>
                <w:rFonts w:ascii="Arial" w:eastAsia="Times New Roman" w:hAnsi="Arial" w:cs="Arial"/>
                <w:color w:val="000000"/>
                <w:lang w:val="es-CO" w:eastAsia="es-CO"/>
              </w:rPr>
              <w:t>}</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EFBBD" w14:textId="77777777" w:rsidR="00922BF6" w:rsidRDefault="00922BF6" w:rsidP="00BC328F">
      <w:pPr>
        <w:spacing w:after="0" w:line="240" w:lineRule="auto"/>
      </w:pPr>
      <w:r>
        <w:separator/>
      </w:r>
    </w:p>
  </w:endnote>
  <w:endnote w:type="continuationSeparator" w:id="0">
    <w:p w14:paraId="49627BFA" w14:textId="77777777" w:rsidR="00922BF6" w:rsidRDefault="00922BF6"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4D78D" w14:textId="77777777" w:rsidR="00922BF6" w:rsidRDefault="00922BF6" w:rsidP="00BC328F">
      <w:pPr>
        <w:spacing w:after="0" w:line="240" w:lineRule="auto"/>
      </w:pPr>
      <w:bookmarkStart w:id="0" w:name="_Hlk146618359"/>
      <w:bookmarkEnd w:id="0"/>
      <w:r>
        <w:separator/>
      </w:r>
    </w:p>
  </w:footnote>
  <w:footnote w:type="continuationSeparator" w:id="0">
    <w:p w14:paraId="42DB1452" w14:textId="77777777" w:rsidR="00922BF6" w:rsidRDefault="00922BF6"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677F"/>
    <w:rsid w:val="0002720E"/>
    <w:rsid w:val="000705F3"/>
    <w:rsid w:val="0007492F"/>
    <w:rsid w:val="00092AE4"/>
    <w:rsid w:val="00095890"/>
    <w:rsid w:val="000C380D"/>
    <w:rsid w:val="000F0E49"/>
    <w:rsid w:val="00105BB1"/>
    <w:rsid w:val="00121216"/>
    <w:rsid w:val="001417D4"/>
    <w:rsid w:val="00144A76"/>
    <w:rsid w:val="00164F68"/>
    <w:rsid w:val="00171A31"/>
    <w:rsid w:val="00177CAB"/>
    <w:rsid w:val="001A0694"/>
    <w:rsid w:val="001A4A5C"/>
    <w:rsid w:val="001C6732"/>
    <w:rsid w:val="001E2EC6"/>
    <w:rsid w:val="002112AB"/>
    <w:rsid w:val="002168AE"/>
    <w:rsid w:val="0023645F"/>
    <w:rsid w:val="00244284"/>
    <w:rsid w:val="00244E6A"/>
    <w:rsid w:val="002450D2"/>
    <w:rsid w:val="00245C65"/>
    <w:rsid w:val="00250DA1"/>
    <w:rsid w:val="002F4150"/>
    <w:rsid w:val="002F7B20"/>
    <w:rsid w:val="00371166"/>
    <w:rsid w:val="00377CBD"/>
    <w:rsid w:val="003B58DC"/>
    <w:rsid w:val="003E2682"/>
    <w:rsid w:val="00401DFD"/>
    <w:rsid w:val="00406031"/>
    <w:rsid w:val="004213E4"/>
    <w:rsid w:val="00421E3F"/>
    <w:rsid w:val="00422818"/>
    <w:rsid w:val="00443E7D"/>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874A8"/>
    <w:rsid w:val="007A050C"/>
    <w:rsid w:val="007B5573"/>
    <w:rsid w:val="007D0185"/>
    <w:rsid w:val="007D100F"/>
    <w:rsid w:val="007D51E3"/>
    <w:rsid w:val="007F7325"/>
    <w:rsid w:val="008069CE"/>
    <w:rsid w:val="00853F6A"/>
    <w:rsid w:val="00853FEE"/>
    <w:rsid w:val="00860ADE"/>
    <w:rsid w:val="00874F56"/>
    <w:rsid w:val="00892605"/>
    <w:rsid w:val="008C0F65"/>
    <w:rsid w:val="008C27C8"/>
    <w:rsid w:val="0091282D"/>
    <w:rsid w:val="00922BF6"/>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3B1E"/>
    <w:rsid w:val="00DA79D9"/>
    <w:rsid w:val="00DB379D"/>
    <w:rsid w:val="00DD43B9"/>
    <w:rsid w:val="00E16561"/>
    <w:rsid w:val="00E52C39"/>
    <w:rsid w:val="00E64310"/>
    <w:rsid w:val="00E85A9E"/>
    <w:rsid w:val="00EC79EF"/>
    <w:rsid w:val="00ED64EC"/>
    <w:rsid w:val="00EF6BED"/>
    <w:rsid w:val="00F03438"/>
    <w:rsid w:val="00F15BA3"/>
    <w:rsid w:val="00F9198B"/>
    <w:rsid w:val="00FB6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583</TotalTime>
  <Pages>7</Pages>
  <Words>2594</Words>
  <Characters>14272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17</cp:revision>
  <cp:lastPrinted>2026-04-07T05:00:00Z</cp:lastPrinted>
  <dcterms:created xsi:type="dcterms:W3CDTF">2026-03-29T02:49:00Z</dcterms:created>
  <dcterms:modified xsi:type="dcterms:W3CDTF">2026-04-30T03:11:00Z</dcterms:modified>
</cp:coreProperties>
</file>