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1833B" w14:textId="05E81B93" w:rsidR="00A92BBA" w:rsidRPr="00A92BBA" w:rsidRDefault="0062495E" w:rsidP="00767D84">
      <w:pPr>
        <w:ind w:left="720"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CONTRATO PROMESA DE COMPRAVENTA DE UN LOTE DE TERRENO</w:t>
      </w:r>
    </w:p>
    <w:p w14:paraId="1DB25574" w14:textId="7B638981"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Conste por medio del presente instrumento el CONTRATO DE PROMESA DE COMPRAVENTA que celebran, de una parte, ING3DRECO SAS, sociedad comercial identificada con NIT 901580047-1, legalmente constituida conforme a las leyes colombianas, representada legalmente por ANDREA LIZETH CABRERA SUESCUN, colombiana, mayor de edad, domiciliada en Florencia (Caquetá), identificada con cédula de ciudadanía No. 1.127.388.759 expedida en Puerto Carreño (Vichada), quien actúa en calidad de Representante Legal del proyecto de urbanismo ARAGUATOS del Plan Parcial LAS MESITAS, parte que para los efectos de este contrato se denominará LA PROMITENTE VENDEDORA; y de otra parte, {NOMBRE_COMPLETO}, de nacionalidad {NACIONALIDAD}, mayor de edad, {IDENTIFICADO} con {GENERO_ID} {CEDULA} expedida en {CIUDAD_EXP}, de estado civil {ESTADO_CIVIL}, con domicilio en la ciudad de {DOMICILIO}, parte que se denominará {TITULO_COMPRADOR}. Las partes han celebrado el presente contrato de promesa de compraventa de conformidad con lo dispuesto en los artículos 1611, 1849 y siguientes del Código Civil y el artículo 905 del Código de Comercio, el cual se regirá por las siguientes cláusulas:</w:t>
      </w:r>
    </w:p>
    <w:p w14:paraId="78B22009"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PRIMERA: OBJETO</w:t>
      </w:r>
    </w:p>
    <w:p w14:paraId="40D1A71C" w14:textId="071BA375"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vender y transferir a favor de {TITULO_COMPRADOR}, a título de compraventa, el </w:t>
      </w:r>
      <w:r>
        <w:rPr>
          <w:rFonts w:ascii="Arial" w:eastAsia="Times New Roman" w:hAnsi="Arial" w:cs="Arial"/>
          <w:b/>
          <w:bCs/>
          <w:color w:val="000000"/>
          <w:lang w:val="es-CO" w:eastAsia="es-CO"/>
        </w:rPr>
        <w:t>Lote de Terreno No. {LOTE_NUM}</w:t>
      </w:r>
      <w:r>
        <w:rPr>
          <w:rFonts w:ascii="Arial" w:eastAsia="Times New Roman" w:hAnsi="Arial" w:cs="Arial"/>
          <w:color w:val="000000"/>
          <w:lang w:val="es-CO" w:eastAsia="es-CO"/>
        </w:rPr>
        <w:t xml:space="preserve"> de la </w:t>
      </w:r>
      <w:r>
        <w:rPr>
          <w:rFonts w:ascii="Arial" w:eastAsia="Times New Roman" w:hAnsi="Arial" w:cs="Arial"/>
          <w:b/>
          <w:bCs/>
          <w:color w:val="000000"/>
          <w:lang w:val="es-CO" w:eastAsia="es-CO"/>
        </w:rPr>
        <w:t>Manzana {MANZANA}</w:t>
      </w:r>
      <w:r>
        <w:rPr>
          <w:rFonts w:ascii="Arial" w:eastAsia="Times New Roman" w:hAnsi="Arial" w:cs="Arial"/>
          <w:color w:val="000000"/>
          <w:lang w:val="es-CO" w:eastAsia="es-CO"/>
        </w:rPr>
        <w:t xml:space="preserve">, con un área aproximada de {AREA_TEXTO} ({AREA_M2} m²), el cual hace parte de un predio de mayor extensión distinguido con la Matrícula Inmobiliaria Número 420-133218 y ficha catastral Número 00-03-0003-0132-000, cuyos linderos específicos son: por el NORTE, en extensión de {NORTE_DIST} con {NORTE_DESC}; por el SUR, en extensión de {SUR_DIST} con {SUR_DESC}; por el ESTE, en extensión de {ESTE_DIST} con {ESTE_DESC}; y por el OESTE, en extensión de {OESTE_DIST} con {OESTE_DESC}. No obstante, la alinderación descrita, la venta se realiza como cuerpo cierto de conformidad con el artículo 1887 del Código Civil.</w:t>
      </w:r>
    </w:p>
    <w:p w14:paraId="630BB1D6" w14:textId="2CC02E79"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 Naturaleza del predio y proceso de subdivisión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El predio de mayor extensión del cual hace parte el lote objeto del presente contrato corresponde a una escritura global que se encuentra en proceso de urbanización bajo el Plan Parcial Las Mesitas. En cumplimiento de la normativa catastral y urbanística vigente, la individualización del lote mediante apertura de matrícula inmobiliaria propia y asignación de ficha catastral individual se realizará en el marco del proceso de subdivisión predial que adelantará LA PROMITENTE VENDEDORA ante las autoridades competentes, como condición previa a la suscripción de </w:t>
        <w:lastRenderedPageBreak/>
        <w:t xml:space="preserve">la escritura pública individual de compraventa. Lo anterior es de conocimiento pleno de {TITULO_COMPRADOR}, quien acepta expresamente esta circunstancia y las condiciones de plazo pactadas en la Cláusula Tercera.</w:t>
      </w:r>
    </w:p>
    <w:p w14:paraId="41028F2E"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SEGUNDA: PRECIO Y FORMA DE PAGO</w:t>
      </w:r>
    </w:p>
    <w:p w14:paraId="644D0E26" w14:textId="3C87AA2C"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precio de la venta prometida es de {PRECIO_TEXTO} (</w:t>
      </w:r>
      <w:r>
        <w:rPr>
          <w:rFonts w:ascii="Arial" w:eastAsia="Times New Roman" w:hAnsi="Arial" w:cs="Arial"/>
          <w:b/>
          <w:bCs/>
          <w:color w:val="000000"/>
          <w:lang w:val="es-CO" w:eastAsia="es-CO"/>
        </w:rPr>
        <w:t>${PRECIO_NUM}</w:t>
      </w:r>
      <w:r>
        <w:rPr>
          <w:rFonts w:ascii="Arial" w:eastAsia="Times New Roman" w:hAnsi="Arial" w:cs="Arial"/>
          <w:color w:val="000000"/>
          <w:lang w:val="es-CO" w:eastAsia="es-CO"/>
        </w:rPr>
        <w:t xml:space="preserve">), que {TITULO_COMPRADOR} pagará a LA PROMITENTE VENDEDORA así:  </w:t>
      </w:r>
    </w:p>
    <w:p w14:paraId="553B8DF9" w14:textId="3391613D" w:rsidR="00563A95" w:rsidRPr="00A92BBA" w:rsidRDefault="00581297"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lang w:val="es-CO" w:eastAsia="es-CO"/>
        </w:rPr>
        <w:t xml:space="preserve">De contado </w:t>
      </w:r>
      <w:r>
        <w:rPr>
          <w:rFonts w:ascii="Arial" w:eastAsia="Times New Roman" w:hAnsi="Arial" w:cs="Arial"/>
          <w:i/>
          <w:iCs/>
          <w:color w:val="000000"/>
          <w:u w:val="single"/>
          <w:lang w:val="es-CO" w:eastAsia="es-CO"/>
        </w:rPr>
        <w:t>{PAGO_TIPO}</w:t>
      </w:r>
      <w:r>
        <w:rPr>
          <w:rFonts w:ascii="Arial" w:eastAsia="Times New Roman" w:hAnsi="Arial" w:cs="Arial"/>
          <w:color w:val="000000"/>
          <w:lang w:val="es-CO" w:eastAsia="es-CO"/>
        </w:rPr>
        <w:t xml:space="preserve"> / </w:t>
      </w:r>
      <w:r>
        <w:rPr>
          <w:rFonts w:ascii="Arial" w:eastAsia="Times New Roman" w:hAnsi="Arial" w:cs="Arial"/>
          <w:b/>
          <w:bCs/>
          <w:i/>
          <w:iCs/>
          <w:color w:val="000000"/>
          <w:lang w:val="es-CO" w:eastAsia="es-CO"/>
        </w:rPr>
        <w:t xml:space="preserve">Financiado </w:t>
      </w:r>
      <w:r>
        <w:rPr>
          <w:rFonts w:ascii="Arial" w:eastAsia="Times New Roman" w:hAnsi="Arial" w:cs="Arial"/>
          <w:i/>
          <w:iCs/>
          <w:color w:val="000000"/>
          <w:u w:val="single"/>
          <w:lang w:val="es-CO" w:eastAsia="es-CO"/>
        </w:rPr>
        <w:t>{PAGO_TIPO_FIN},</w:t>
      </w:r>
      <w:r>
        <w:rPr>
          <w:rFonts w:ascii="Arial" w:eastAsia="Times New Roman" w:hAnsi="Arial" w:cs="Arial"/>
          <w:color w:val="000000"/>
          <w:lang w:val="es-CO" w:eastAsia="es-CO"/>
        </w:rPr>
        <w:t xml:space="preserve"> así:</w:t>
      </w:r>
    </w:p>
    <w:p w14:paraId="002D472B" w14:textId="3B98303A" w:rsidR="00563A95" w:rsidRPr="00A92BBA"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Una cuota inicial de {CUOTA_INICIAL_T} (</w:t>
      </w:r>
      <w:r>
        <w:rPr>
          <w:rFonts w:ascii="Arial" w:eastAsia="Times New Roman" w:hAnsi="Arial" w:cs="Arial"/>
          <w:b/>
          <w:bCs/>
          <w:color w:val="000000"/>
          <w:lang w:val="es-CO" w:eastAsia="es-CO"/>
        </w:rPr>
        <w:t>${CUOTA_INICIAL_N</w:t>
      </w:r>
      <w:r>
        <w:rPr>
          <w:rFonts w:ascii="Arial" w:eastAsia="Times New Roman" w:hAnsi="Arial" w:cs="Arial"/>
          <w:color w:val="000000"/>
          <w:lang w:val="es-CO" w:eastAsia="es-CO"/>
        </w:rPr>
        <w:t>}), que se recibirá al momento de la firma del presente contrato, valor que LA PROMITENTE VENDEDORA declara recibir a entera satisfacción.</w:t>
      </w:r>
    </w:p>
    <w:p w14:paraId="7A9881C4" w14:textId="341C4186" w:rsidR="00563A95"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saldo restante de {SALDO_T} (</w:t>
      </w:r>
      <w:r>
        <w:rPr>
          <w:rFonts w:ascii="Arial" w:eastAsia="Times New Roman" w:hAnsi="Arial" w:cs="Arial"/>
          <w:b/>
          <w:bCs/>
          <w:color w:val="000000"/>
          <w:lang w:val="es-CO" w:eastAsia="es-CO"/>
        </w:rPr>
        <w:t>${SALDO_N}</w:t>
      </w:r>
      <w:r>
        <w:rPr>
          <w:rFonts w:ascii="Arial" w:eastAsia="Times New Roman" w:hAnsi="Arial" w:cs="Arial"/>
          <w:color w:val="000000"/>
          <w:lang w:val="es-CO" w:eastAsia="es-CO"/>
        </w:rPr>
        <w:t xml:space="preserve">), pagadero en {NUM_CUOTAS} cuotas mensuales iguales de {VALOR_CUOTA_T} (</w:t>
      </w:r>
      <w:r>
        <w:rPr>
          <w:rFonts w:ascii="Arial" w:eastAsia="Times New Roman" w:hAnsi="Arial" w:cs="Arial"/>
          <w:b/>
          <w:bCs/>
          <w:color w:val="000000"/>
          <w:lang w:val="es-CO" w:eastAsia="es-CO"/>
        </w:rPr>
        <w:t>${VALOR_CUOTA_N}</w:t>
      </w:r>
      <w:r>
        <w:rPr>
          <w:rFonts w:ascii="Arial" w:eastAsia="Times New Roman" w:hAnsi="Arial" w:cs="Arial"/>
          <w:color w:val="000000"/>
          <w:lang w:val="es-CO" w:eastAsia="es-CO"/>
        </w:rPr>
        <w:t xml:space="preserve">) cada una, pagaderas a partir del día {FECHA_INICIO_P}.</w:t>
      </w:r>
    </w:p>
    <w:p w14:paraId="2180C6EA" w14:textId="77777777" w:rsidR="00A92BBA" w:rsidRPr="00A92BBA" w:rsidRDefault="00A92BBA" w:rsidP="00A92BBA">
      <w:pPr>
        <w:pStyle w:val="Prrafodelista"/>
        <w:ind w:left="0" w:right="-234"/>
        <w:jc w:val="both"/>
        <w:rPr>
          <w:rFonts w:ascii="Arial" w:eastAsia="Times New Roman" w:hAnsi="Arial" w:cs="Arial"/>
          <w:color w:val="000000"/>
          <w:lang w:val="es-CO" w:eastAsia="es-CO"/>
        </w:rPr>
      </w:pPr>
    </w:p>
    <w:p w14:paraId="3E9ED7BC" w14:textId="77777777" w:rsidR="00665CAF" w:rsidRPr="00665CAF" w:rsidRDefault="00563A95" w:rsidP="00665CAF">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TERCERA: PLAZO Y CONDICIONES PARA LA ESCRITURACIÓN</w:t>
      </w:r>
    </w:p>
    <w:p w14:paraId="6EC72E19" w14:textId="5C42763D"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que la suscripción de la escritura pública individual de compraventa en la Notaría Segunda del Círculo de Florencia se realizará una vez se cumplan concurrentemente las siguientes condiciones: (1) que {TITULO_COMPRADOR} haya cancelado la totalidad del precio pactado en la Cláusula Segunda; (2) que el proyecto urbanístico ARAGUATOS cuente con las redes de servicios públicos de acueducto, alcantarillado y energía debidamente construidas y habilitadas para la prestación del servicio; y (3) que {TITULO_COMPRADOR} acredite mediante documento idóneo estar a paz y salvo por concepto de impuesto predial unificado y demás contribuciones municipales que le hayan correspondido sobre el lote a partir de la asignación de su ficha catastral individual, conforme a lo dispuesto en la Cláusula Sexta. La existencia de deudas tributarias municipales a cargo de {TITULO_COMPRADOR} impedirá la escrituración y no constituirá incumplimiento imputable a LA PROMITENTE VENDEDORA, ni dará lugar a la aplicación de cláusula penal en su contra.</w:t>
      </w:r>
    </w:p>
    <w:p w14:paraId="18A174AE"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18A174AA"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PARÁGRAFO: LA PROMITENTE VENDEDORA se obliga a adelantar, gestionar y ejecutar las obras de urbanismo correspondientes al proyecto ARAGUATOS, así como los trámites de subdivisión predial, individualización catastral y demás gestiones ante las autoridades </w:t>
        <w:lastRenderedPageBreak/>
        <w:t>competentes, dentro de un plazo máximo de cinco (5) años contados a partir de la suscripción del presente contrato. Este plazo se establece como término estimado para la consolidación urbanística del proyecto y habilitación plena para la escrituración individual de los lotes; sin perjuicio de prórrogas por causas ajenas a la voluntad de LA PROMITENTE VENDEDORA, tales como trámites administrativos, licencias, fuerza mayor o caso fortuito.</w:t>
      </w:r>
    </w:p>
    <w:p w14:paraId="18A174AB"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4BC8D9C5" w14:textId="42089701"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CUARTA: PRÓRROGAS Y MODIFICACIONES DEL PLAZO</w:t>
      </w:r>
    </w:p>
    <w:p w14:paraId="7357366D" w14:textId="77777777"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El término para el cumplimiento de las obligaciones derivadas del presente contrato solo podrá ser prorrogado mediante acuerdo mutuo, expreso y escrito de las partes, formalizado a través de un Otrosí o cláusula adicional suscrita por ambos prometientes, con una antelación no inferior a dos (2) días hábiles a la fecha inicialmente pactada para la firma de la escritura.</w:t>
      </w:r>
    </w:p>
    <w:p w14:paraId="73CFE7F5" w14:textId="47B723AE"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En ausencia del documento escrito y debidamente suscrito, se entenderá que no existe prórroga alguna, y el incumplimiento de la fecha señalada dará lugar a la aplicación de la cláusula penal y a las acciones legales de resolución de contrato contempladas en los artículos 1546 y 1602 del Código Civil.</w:t>
      </w:r>
    </w:p>
    <w:p w14:paraId="0A02A5A8"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QUINTA: GASTOS DE ESCRITURACIÓN</w:t>
      </w:r>
    </w:p>
    <w:p w14:paraId="09098D9A" w14:textId="70250B9D" w:rsidR="00A92BBA" w:rsidRPr="00A92BBA" w:rsidRDefault="00665CAF"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Los gastos que se ocasionen con motivo de la suscripción de la escritura pública de compraventa se distribuirán así: Los derechos notariales, si el precio total fue cancelado de contado conforme a la Cláusula Segunda, serán asumidos en partes iguales entre las partes; si el precio fue cancelado mediante financiación, la totalidad de los derechos notariales será asumida por {TITULO_COMPRADOR}. Los demás impuestos y cargas derivados de la transferencia y registro del inmueble a nombre de {TITULO_COMPRADOR} serán asumidos por {ESTE_A}.</w:t>
      </w:r>
    </w:p>
    <w:p w14:paraId="02DBF055" w14:textId="6D7DC87E"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SEXTA: OBLIGACIONES TRIBUTARIAS MUNICIPALES Y CATASTRALES</w:t>
      </w:r>
    </w:p>
    <w:p w14:paraId="5B2C8433" w14:textId="7BAB65BC"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expresamente que {TITULO_COMPRADOR} asumirá a su cargo el pago de la totalidad de los impuestos municipales que recaigan sobre el lote objeto del presente contrato (en particular el impuesto predial unificado y las contribuciones de valorización que se generen) a partir de la fecha en que se le asigne ficha catastral individual al lote, con independencia de que la escrituración se haya perfeccionado o no en dicho momento.</w:t>
      </w:r>
    </w:p>
    <w:p w14:paraId="69111225" w14:textId="1711334A"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PRIMERO</w:t>
      </w:r>
      <w:r>
        <w:rPr>
          <w:rFonts w:ascii="Arial" w:eastAsia="Times New Roman" w:hAnsi="Arial" w:cs="Arial"/>
          <w:color w:val="000000"/>
          <w:sz w:val="20"/>
          <w:szCs w:val="20"/>
          <w:lang w:val="es-CO" w:eastAsia="es-CO"/>
        </w:rPr>
        <w:t xml:space="preserve"> </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b/>
          <w:bCs/>
          <w:i/>
          <w:iCs/>
          <w:color w:val="000000"/>
          <w:sz w:val="20"/>
          <w:szCs w:val="20"/>
          <w:lang w:val="es-CO" w:eastAsia="es-CO"/>
        </w:rPr>
        <w:t>Proceso de formación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razón de que el predio de mayor extensión proviene de una escritura global y se encuentra en proceso de urbanización bajo el </w:t>
        <w:lastRenderedPageBreak/>
        <w:t xml:space="preserve">Plan Parcial Las Mesitas, la asignación de ficha catastral individual a cada lote se producirá como resultado del trámite de subdivisión predial que adelantará LA PROMITENTE VENDEDORA ante el IGAC o la entidad catastral delegada. Desde el momento en que al lote objeto de este contrato le sea asignada ficha catastral individual, {TITULO_COMPRADOR} asumirá como propia la carga tributaria municipal que recaiga sobre dicho lote, con independencia de la fecha en que se suscriba la escritura pública. LA PROMITENTE VENDEDORA notificará a {TITULO_COMPRADOR} por escrito dentro de los diez (10) días hábiles siguientes a la asignación de la ficha catastral.</w:t>
      </w:r>
    </w:p>
    <w:p w14:paraId="4EF20024" w14:textId="5880F578"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SEGUNDO – Reembolso del predial pagado por LA PROMITENTE VENDEDORA:</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el evento en que, por razones del proceso de facturación municipal, el impuesto predial del lote sea liquidado inicialmente a nombre de LA PROMITENTE VENDEDORA con posterioridad a la asignación de la ficha catastral individual, {TITULO_COMPRADOR} se obliga a reembolsar a LA PROMITENTE VENDEDORA el valor proporcional que corresponda al lote objeto de este contrato, dentro de los treinta (30) días calendario siguientes al requerimiento escrito acompañado del recibo de pago respectivo. El incumplimiento de esta obligación de reembolso generará los mismos intereses de mora previstos en la Cláusula Séptima del presente contrato.</w:t>
      </w:r>
    </w:p>
    <w:p w14:paraId="3611AAFB" w14:textId="442979B4"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TERCERO – Paz y salvo tributario como requisito para la escrituración:</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La suscripción de la escritura pública de compraventa individual estará condicionada, además de los requisitos previstos en la Cláusula Tercera, a que {TITULO_COMPRADOR} acredite mediante documento idóneo (paz y salvo municipal o certificado de no deudor) estar al día en el pago de todos los impuestos prediales y contribuciones de valorización que le hayan correspondido sobre el lote a partir de la asignación de la ficha catastral individual. La existencia de deudas tributarias municipales a cargo de {TITULO_COMPRADOR} sobre el lote impedirá la escrituración y no constituirá incumplimiento imputable a LA PROMITENTE VENDEDORA, ni dará lugar a la aplicación de la cláusula penal en su contra.</w:t>
      </w:r>
    </w:p>
    <w:p w14:paraId="3D65789A" w14:textId="4D0082E1" w:rsidR="00D70DAF"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CUARTO – Período anterior a la ficha catastral individual</w:t>
      </w:r>
      <w:r>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Antes de la asignación de ficha catastral individual al lote, el impuesto predial del predio global continuará siendo responsabilidad exclusiva de LA PROMITENTE VENDEDORA, sin que {TITULO_COMPRADOR} tenga obligación de contribuir a su pago durante dicho período.</w:t>
      </w:r>
    </w:p>
    <w:p w14:paraId="6241A5A1" w14:textId="3F0066DB"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 xml:space="preserve">SÉPTIMA: CLÁUSULA PENAL POR INCUMPLIMIENTO </w:t>
      </w:r>
    </w:p>
    <w:p w14:paraId="68CF69FB" w14:textId="38F0B30F" w:rsidR="00D70D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sumas pagadas por {TITULO_COMPRADOR} durante la vigencia del presente contrato tendrán naturaleza de arras penitenciales conforme al artículo 1859 del Código Civil y constituyen estimación anticipada de perjuicios conforme al artículo 1592 ibidem. Las </w:t>
        <w:lastRenderedPageBreak/>
        <w:t>consecuencias económicas se regularán de manera diferenciada según el evento que origine la terminación:</w:t>
      </w:r>
    </w:p>
    <w:p w14:paraId="4D5ADADB" w14:textId="2A91C5B6" w:rsidR="00767D84" w:rsidRPr="00767D84" w:rsidRDefault="00665CAF" w:rsidP="00767D84">
      <w:pPr>
        <w:pStyle w:val="Prrafodelista"/>
        <w:numPr>
          <w:ilvl w:val="0"/>
          <w:numId w:val="7"/>
        </w:num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 xml:space="preserve">RETRACTO VOLUNTARIO DE {TITULO_COMPRADOR}.</w:t>
      </w:r>
    </w:p>
    <w:p w14:paraId="6FE7FF57" w14:textId="07AA931A" w:rsidR="00767D84" w:rsidRDefault="00767D84" w:rsidP="00767D84">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por retracto voluntario la decisión expresa de {TITULO_COMPRADOR} de no continuar con el negocio, manifestada por escrito mientras se encuentre al día en la totalidad de sus obligaciones económicas y contractuales. En este evento, las sumas efectivamente pagadas por {TITULO_COMPRADOR} tendrán exclusivamente la naturaleza de arras penitenciales, como consecuencia del ejercicio voluntario de la facultad de retractarse. LA PROMITENTE VENDEDORA retendrá, a título de arras penitenciales y como compensación de los gastos de gestión comercial y administrativa en que incurre para la promoción, estructuración y trámite del negocio prometido, el mayor valor entre: (i) el treinta por ciento (30%) de las sumas efectivamente pagadas por {TITULO_COMPRADOR} hasta la fecha de terminación por retracto; o (ii) una suma equivalente al seis por ciento (6%) del precio total pactado en la Cláusula Segunda, por concepto de los gastos de gestión comercial y administrativa antes referidos, la cual las partes reconocen y aceptan como estimación anticipada y razonable de dichos gastos. En el evento en que el mayor valor resultante de lo previsto en los numerales (i) y (ii) anteriores sea igual o superior a las sumas efectivamente pagadas por {TITULO_COMPRADOR}, LA PROMITENTE VENDEDORA retendrá la totalidad de dichas sumas efectivamente pagadas, sin que haya lugar a devolución alguna a favor de {TITULO_COMPRADOR}. LA PROMITENTE VENDEDORA devolverá el saldo restante, si lo hubiere, dentro de los noventa (90) días calendario siguientes a la formalización de la terminación y liquidación del contrato, siempre que {TITULO_COMPRADOR} haya cumplido previamente las obligaciones tributarias y demás obligaciones a su cargo. El régimen previsto en este literal no será aplicable cuando {TITULO_COMPRADOR} se encuentre en mora o haya incurrido en incumplimiento de sus obligaciones.</w:t>
      </w:r>
    </w:p>
    <w:p w14:paraId="5F3B4087" w14:textId="23973EE1" w:rsidR="00767D84" w:rsidRPr="00767D84" w:rsidRDefault="00665CAF" w:rsidP="00767D84">
      <w:pPr>
        <w:pStyle w:val="Prrafodelista"/>
        <w:numPr>
          <w:ilvl w:val="0"/>
          <w:numId w:val="7"/>
        </w:num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 xml:space="preserve">INCUMPLIMIENTO DE {TITULO_COMPRADOR}.</w:t>
      </w:r>
    </w:p>
    <w:p w14:paraId="7363A046" w14:textId="0C23ECC9" w:rsidR="00D70DAF" w:rsidRDefault="00D70D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incumplimiento cuando: (i) {TITULO_COMPRADOR} deje de pagar tres (3) cuotas mensuales consecutivas; o (ii) notifique su intención de no continuar con el contrato encontrándose en mora en una o más cuotas a la fecha de dicha comunicación. En cualquiera de estos eventos, quien incumple no podrá acogerse al régimen de retracto voluntario previsto en el literal A, independientemente de la denominación que le dé a su comunicación. Declarado el incumplimiento, LA PROMITENTE VENDEDORA quedará facultada para dar por terminado unilateralmente el presente contrato sin necesidad de requerimiento judicial, en ejercicio del pacto comisorio aquí consignado conforme a los artículos 1546 y 1592 del Código Civil. La totalidad de las sumas efectivamente pagadas por {TITULO_COMPRADOR} hasta la fecha de terminación quedarán en poder de LA PROMITENTE VENDEDORA a título de cláusula penal compensatoria, como retribución por el costo de oportunidad del lote, los gastos administrativos y comerciales incurridos y el lucro cesante generado durante el período en que el lote estuvo fuera del mercado, sin que haya lugar a devolución alguna. Las partes declaran que esta consecuencia fue libremente acordada y constituye una estimación razonable y anticipada de dichos perjuicios, conforme al artículo 1592 del Código Civil. Declarada la terminación, LA PROMITENTE VENDEDORA retomará la posesión inmediata del terreno y podrá disponer libremente de él, sin que {TITULO_COMPRADOR} pueda reclamar compensación por mejoras no necesarias.</w:t>
      </w:r>
    </w:p>
    <w:p w14:paraId="3B741A42" w14:textId="15BE5F33"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 xml:space="preserve">El incumplimiento en el pago de cuotas, transcurridos cinco (5) días calendario desde su vencimiento, generará adicionalmente a cargo de {TITULO_COMPRADOR} intereses de mora al máximo legal vigente certificado por la Superintendencia Financiera de Colombia, liquidados sobre el valor de la cuota en mora por cada día de retardo, sin perjuicio de la obligación principal.</w:t>
      </w:r>
    </w:p>
    <w:p w14:paraId="1F7410BE" w14:textId="6E0A91CB" w:rsidR="00767D84" w:rsidRPr="00767D84" w:rsidRDefault="00665CAF" w:rsidP="00767D84">
      <w:pPr>
        <w:pStyle w:val="Prrafodelista"/>
        <w:numPr>
          <w:ilvl w:val="0"/>
          <w:numId w:val="7"/>
        </w:num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INCUMPLIMIENTO O RETRACTO DE LA PROMITENTE VENDEDORA.</w:t>
      </w:r>
    </w:p>
    <w:p w14:paraId="3C561D51" w14:textId="7FEDF196"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En caso de que LA PROMITENTE VENDEDORA se retracte o incumpla las obligaciones a su cargo que impidan la escrituración en los términos pactados, estará obligada a restituir a {TITULO_COMPRADOR} la totalidad de las sumas recibidas dentro de los noventa (90) días calendario siguientes al requerimiento escrito, sin perjuicio de la acción de cumplimiento forzado que pueda ejercer {TITULO_COMPRADOR} conforme a los artículos 1546 y 1610 del Código Civil.</w:t>
      </w:r>
    </w:p>
    <w:p w14:paraId="1121A6D6" w14:textId="4FE27338" w:rsidR="00A92BBA" w:rsidRPr="00A92BBA" w:rsidRDefault="00563A95"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entregar el inmueble libre de limitaciones al dominio, gravámenes, condiciones resolutorias, pleitos pendientes o embargos hasta la fecha de la firma de la escritura pública. La entrega material y física del lote se realizará únicamente cuando {TITULO_COMPRADOR} haya cancelado la totalidad del precio pactado, el proyecto cuente con disponibilidad efectiva de los servicios públicos de acueducto, alcantarillado y energía, así como con los respectivos diseños urbanísticos, y {TITULO_COMPRADOR} haya aportado el soporte de pago del impuesto predial unificado y demás impuestos municipales a su cargo, conforme a lo dispuesto en la Cláusula Sexta del presente contrato. A partir de la entrega, {TITULO_COMPRADOR} se obliga a respetar los lineamientos arquitectónicos y de fachada definidos en el Reglamento de Construcción del Proyecto Araguatos. Este acuerdo constituye ley para las partes conforme al artículo 1602 del Código Civil, y su incumplimiento se regirá por el artículo 1546 ibidem.</w:t>
      </w:r>
    </w:p>
    <w:p w14:paraId="22845377" w14:textId="332162E4"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OCTAVA: CLÁUSULA COMPROMISORIA</w:t>
      </w:r>
    </w:p>
    <w:p w14:paraId="381E73E4" w14:textId="77777777" w:rsidR="00767D84" w:rsidRDefault="00767D84" w:rsidP="00767D84">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Toda controversia relacionada con la celebración, ejecución, interpretación, terminación o liquidación del presente contrato será sometida inicialmente a arreglo directo, para lo cual las partes dispondrán de diez (10) días hábiles contados desde la comunicación escrita de la controversia. Si no se logra un acuerdo, las partes acudirán a conciliación ante el Centro de Conciliación y Arbitraje de la Cámara de Comercio de Florencia. De no alcanzarse una solución, la controversia será sometida a un Tribunal de Arbitramento integrado por un (1) árbitro, designado conforme a la Ley 1563 de 2012 y al reglamento del Centro, quien decidirá en derecho. Los costos del trámite arbitral se asumirán conforme a las disposiciones legales y reglamentarias aplicables y a lo que determine el respectivo Tribunal. Cumplidas las </w:t>
        <w:lastRenderedPageBreak/>
        <w:t>obligaciones principales, otorgada la escritura pública y realizada la entrega material del inmueble, se entenderá cumplido el objeto principal de la presente promesa, sin perjuicio de las obligaciones que por su naturaleza o por disposición legal deban subsistir.</w:t>
      </w:r>
    </w:p>
    <w:p w14:paraId="37089401" w14:textId="362B56D2"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NOVENA: NOTIFICACIONES Y DOMICILIO CONTRACTUAL</w:t>
      </w:r>
    </w:p>
    <w:p w14:paraId="5F22AB1A" w14:textId="17B770CF"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Para todos los efectos legales derivados del presente contrato, las partes señalan como domicilio contractual la ciudad de Florencia, Caquetá. Cualquier comunicación se realizará a las direcciones físicas y correos electrónicos aquí consignados, aceptando el mensaje de datos como medio oficial y vinculante según la Ley 527 de 1999. LA PROMITENTE VENDEDORA recibirá notificaciones en la CRA 2 E # 15 A-12, Barrio Abbas Turbay, Florencia (Caquetá), correo electrónico ing3dreco@gmail.com, teléfono 3227590147. {TITULO_COMPRADOR} recibirá notificaciones en la dirección {DIRECCION_COMP}, correo {CORREO_COMP}, teléfono {TELEFONO_COMP}. Es obligación de cada parte informar cualquier cambio de datos por escrito con cinco (5) días de antelación; de lo contrario, las notificaciones enviadas a las direcciones aquí pactadas se entenderán válidamente surtidas de conformidad con el artículo 1602 del Código Civil.</w:t>
      </w:r>
    </w:p>
    <w:p w14:paraId="37BAE87F" w14:textId="35D9F5CF" w:rsidR="00202DFD"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manifiestan haber leído y entendido la totalidad de las cláusulas del presente contrato de promesa de compraventa, aceptando su contenido en su integridad y obligándose a su estricto cumplimiento conforme a la ley. Para constancia de lo anterior y como prueba de su libre voluntad, se firma en la ciudad de Florencia (Caquetá), el día {FECHA_FIRMA}, en dos (2) ejemplares del mismo tenor y valor, uno para cada parte, procediendo al reconocimiento de firmas y contenido ante autoridad notarial.</w:t>
      </w:r>
    </w:p>
    <w:p w14:paraId="05B7C3DE" w14:textId="77777777" w:rsidR="00767D84" w:rsidRPr="00A92BBA" w:rsidRDefault="00767D84" w:rsidP="00A92BBA">
      <w:pPr>
        <w:ind w:right="-234"/>
        <w:jc w:val="both"/>
        <w:rPr>
          <w:rFonts w:ascii="Arial" w:eastAsia="Times New Roman" w:hAnsi="Arial" w:cs="Arial"/>
          <w:color w:val="000000"/>
          <w:lang w:val="es-CO" w:eastAsia="es-CO"/>
        </w:rPr>
      </w:pPr>
    </w:p>
    <w:tbl>
      <w:tblPr>
        <w:tblStyle w:val="Tablaconcuadrcula"/>
        <w:tblW w:w="99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245"/>
      </w:tblGrid>
      <w:tr w:rsidR="001417D4" w:rsidRPr="00A92BBA" w14:paraId="7D048E71" w14:textId="77777777" w:rsidTr="003E2682">
        <w:trPr>
          <w:trHeight w:val="70"/>
          <w:jc w:val="center"/>
        </w:trPr>
        <w:tc>
          <w:tcPr>
            <w:tcW w:w="4673" w:type="dxa"/>
            <w:vAlign w:val="center"/>
          </w:tcPr>
          <w:p w14:paraId="394BD97B" w14:textId="3FA652ED" w:rsidR="001417D4" w:rsidRPr="00A92BBA" w:rsidRDefault="001417D4"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LA PROMITENTE VENDEDORA</w:t>
            </w:r>
          </w:p>
        </w:tc>
        <w:tc>
          <w:tcPr>
            <w:tcW w:w="5245" w:type="dxa"/>
            <w:vAlign w:val="center"/>
          </w:tcPr>
          <w:p w14:paraId="2DE31E0C" w14:textId="4E2ADB09" w:rsidR="001417D4" w:rsidRPr="00A92BBA" w:rsidRDefault="000F0E49"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{TITULO_COMPRADOR}</w:t>
            </w:r>
          </w:p>
        </w:tc>
      </w:tr>
      <w:tr w:rsidR="001417D4" w:rsidRPr="00A92BBA" w14:paraId="29C636AE" w14:textId="77777777" w:rsidTr="003E2682">
        <w:trPr>
          <w:trHeight w:val="2167"/>
          <w:jc w:val="center"/>
        </w:trPr>
        <w:tc>
          <w:tcPr>
            <w:tcW w:w="4673" w:type="dxa"/>
            <w:vAlign w:val="center"/>
          </w:tcPr>
          <w:p w14:paraId="1F53AF49" w14:textId="5F451BF5" w:rsidR="00457B2F" w:rsidRPr="00A92BBA" w:rsidRDefault="00457B2F" w:rsidP="00A92BBA">
            <w:pPr>
              <w:ind w:right="-234"/>
              <w:rPr>
                <w:rFonts w:ascii="Arial" w:eastAsia="Times New Roman" w:hAnsi="Arial" w:cs="Arial"/>
                <w:color w:val="000000"/>
                <w:lang w:val="es-CO" w:eastAsia="es-CO"/>
              </w:rPr>
            </w:pPr>
          </w:p>
          <w:p w14:paraId="794E6E27" w14:textId="77777777" w:rsidR="003E2682" w:rsidRPr="00A92BBA" w:rsidRDefault="003E2682" w:rsidP="00A92BBA">
            <w:pPr>
              <w:ind w:right="-234"/>
              <w:rPr>
                <w:rFonts w:ascii="Arial" w:eastAsia="Times New Roman" w:hAnsi="Arial" w:cs="Arial"/>
                <w:color w:val="000000"/>
                <w:lang w:val="es-CO" w:eastAsia="es-CO"/>
              </w:rPr>
            </w:pPr>
          </w:p>
          <w:p w14:paraId="11CC1493" w14:textId="6D089ABE" w:rsidR="00457B2F" w:rsidRPr="00A92BBA" w:rsidRDefault="00457B2F" w:rsidP="00A92BBA">
            <w:pPr>
              <w:ind w:right="-234"/>
              <w:jc w:val="center"/>
              <w:rPr>
                <w:rFonts w:ascii="Arial" w:eastAsia="Times New Roman" w:hAnsi="Arial" w:cs="Arial"/>
                <w:color w:val="000000"/>
                <w:lang w:val="es-CO" w:eastAsia="es-CO"/>
              </w:rPr>
            </w:pPr>
          </w:p>
          <w:p w14:paraId="7E2556C4" w14:textId="77777777" w:rsidR="003E2682" w:rsidRPr="00A92BBA" w:rsidRDefault="003E2682" w:rsidP="00A92BBA">
            <w:pPr>
              <w:ind w:right="-234"/>
              <w:jc w:val="center"/>
              <w:rPr>
                <w:rFonts w:ascii="Arial" w:eastAsia="Times New Roman" w:hAnsi="Arial" w:cs="Arial"/>
                <w:color w:val="000000"/>
                <w:lang w:val="es-CO" w:eastAsia="es-CO"/>
              </w:rPr>
            </w:pPr>
          </w:p>
          <w:p w14:paraId="79415DCB" w14:textId="6318987D" w:rsidR="001417D4" w:rsidRPr="00A92BBA" w:rsidRDefault="00092AE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ANDREA LIZETH CABRERA SUESCUN</w:t>
            </w:r>
          </w:p>
          <w:p w14:paraId="5AAA1CA2" w14:textId="6F9F9346" w:rsidR="00244284" w:rsidRPr="00A92BBA" w:rsidRDefault="0024428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CC.1.127.388.759</w:t>
            </w:r>
          </w:p>
          <w:p w14:paraId="08CA3291" w14:textId="14BCC195" w:rsidR="001417D4" w:rsidRPr="00A92BBA" w:rsidRDefault="001417D4" w:rsidP="00A92BBA">
            <w:pPr>
              <w:ind w:right="-234"/>
              <w:jc w:val="center"/>
              <w:rPr>
                <w:rFonts w:ascii="Arial" w:eastAsia="Times New Roman" w:hAnsi="Arial" w:cs="Arial"/>
                <w:i/>
                <w:iCs/>
                <w:color w:val="000000"/>
                <w:lang w:val="es-CO" w:eastAsia="es-CO"/>
              </w:rPr>
            </w:pPr>
            <w:r>
              <w:rPr>
                <w:rFonts w:ascii="Arial" w:eastAsia="Times New Roman" w:hAnsi="Arial" w:cs="Arial"/>
                <w:i/>
                <w:iCs/>
                <w:color w:val="000000"/>
                <w:lang w:val="es-CO" w:eastAsia="es-CO"/>
              </w:rPr>
              <w:t>ING3DRECO SAS</w:t>
            </w:r>
          </w:p>
          <w:p w14:paraId="32D98E52" w14:textId="285B2415" w:rsidR="001417D4" w:rsidRPr="00A92BBA" w:rsidRDefault="001417D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Cel.3227590147</w:t>
            </w:r>
          </w:p>
        </w:tc>
        <w:tc>
          <w:tcPr>
            <w:tcW w:w="5245" w:type="dxa"/>
            <w:vAlign w:val="center"/>
          </w:tcPr>
          <w:p w14:paraId="46A881A9" w14:textId="0BCA2EBB" w:rsidR="00457B2F" w:rsidRPr="00A92BBA" w:rsidRDefault="00457B2F" w:rsidP="00A92BBA">
            <w:pPr>
              <w:ind w:right="-234"/>
              <w:rPr>
                <w:rFonts w:ascii="Arial" w:eastAsia="Times New Roman" w:hAnsi="Arial" w:cs="Arial"/>
                <w:color w:val="000000"/>
                <w:lang w:val="es-CO" w:eastAsia="es-CO"/>
              </w:rPr>
            </w:pPr>
          </w:p>
          <w:p w14:paraId="666F84C3" w14:textId="50E4BA70" w:rsidR="003E2682" w:rsidRPr="00A92BBA" w:rsidRDefault="003E2682" w:rsidP="00A92BBA">
            <w:pPr>
              <w:ind w:right="-234"/>
              <w:rPr>
                <w:rFonts w:ascii="Arial" w:eastAsia="Times New Roman" w:hAnsi="Arial" w:cs="Arial"/>
                <w:color w:val="000000"/>
                <w:lang w:val="es-CO" w:eastAsia="es-CO"/>
              </w:rPr>
            </w:pPr>
          </w:p>
          <w:p w14:paraId="71D146A8" w14:textId="77777777" w:rsidR="003E2682" w:rsidRPr="00A92BBA" w:rsidRDefault="003E2682" w:rsidP="00A92BBA">
            <w:pPr>
              <w:ind w:right="-234"/>
              <w:rPr>
                <w:rFonts w:ascii="Arial" w:eastAsia="Times New Roman" w:hAnsi="Arial" w:cs="Arial"/>
                <w:color w:val="000000"/>
                <w:lang w:val="es-CO" w:eastAsia="es-CO"/>
              </w:rPr>
            </w:pPr>
          </w:p>
          <w:p w14:paraId="5D890E40" w14:textId="1BDF1C70" w:rsidR="00244284" w:rsidRPr="00A92BBA" w:rsidRDefault="000F0E49"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{NOMBRE_COMPLETO}</w:t>
            </w:r>
          </w:p>
          <w:p w14:paraId="476CF15D" w14:textId="48CA4DE4" w:rsidR="001417D4" w:rsidRPr="00A92BBA" w:rsidRDefault="001417D4"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C.C {CC_COMPRADOR}</w:t>
            </w:r>
          </w:p>
          <w:p w14:paraId="5F35B0A3" w14:textId="6988460B" w:rsidR="001417D4" w:rsidRPr="00A92BBA" w:rsidRDefault="001417D4"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Cel. {CEL_COMPRADOR}</w:t>
            </w:r>
          </w:p>
        </w:tc>
      </w:tr>
    </w:tbl>
    <w:p w14:paraId="42D47C5E" w14:textId="77777777" w:rsidR="003E2682" w:rsidRPr="00A92BBA" w:rsidRDefault="003E2682" w:rsidP="00A92BBA">
      <w:pPr>
        <w:ind w:right="-234"/>
        <w:jc w:val="both"/>
        <w:rPr>
          <w:rFonts w:ascii="Arial" w:eastAsia="Times New Roman" w:hAnsi="Arial" w:cs="Arial"/>
          <w:color w:val="000000"/>
          <w:lang w:val="es-CO" w:eastAsia="es-CO"/>
        </w:rPr>
      </w:pPr>
    </w:p>
    <w:sectPr w:rsidR="003E2682" w:rsidRPr="00A92BBA" w:rsidSect="00D52074">
      <w:headerReference w:type="default" r:id="rId7"/>
      <w:footerReference w:type="default" r:id="rId8"/>
      <w:pgSz w:w="12240" w:h="15840"/>
      <w:pgMar w:top="1417" w:right="1701" w:bottom="1417" w:left="1701" w:header="68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7C3833" w14:textId="77777777" w:rsidR="0000291A" w:rsidRDefault="0000291A" w:rsidP="00BC328F">
      <w:pPr>
        <w:spacing w:after="0" w:line="240" w:lineRule="auto"/>
      </w:pPr>
      <w:r>
        <w:separator/>
      </w:r>
    </w:p>
  </w:endnote>
  <w:endnote w:type="continuationSeparator" w:id="0">
    <w:p w14:paraId="0784EA47" w14:textId="77777777" w:rsidR="0000291A" w:rsidRDefault="0000291A" w:rsidP="00BC3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791AA" w14:textId="097CF1A4" w:rsidR="007D51E3" w:rsidRDefault="007D51E3" w:rsidP="007D51E3">
    <w:pPr>
      <w:pStyle w:val="Piedepgina"/>
      <w:rPr>
        <w:rFonts w:ascii="Bookman Old Style" w:hAnsi="Bookman Old Style"/>
        <w:lang w:val="es-CO"/>
      </w:rPr>
    </w:pPr>
  </w:p>
  <w:p w14:paraId="5BDD38B6" w14:textId="5FCCDF04" w:rsidR="007D51E3" w:rsidRDefault="007D51E3" w:rsidP="007D51E3">
    <w:pPr>
      <w:pStyle w:val="Piedepgina"/>
      <w:rPr>
        <w:rFonts w:ascii="Bookman Old Style" w:hAnsi="Bookman Old Style"/>
        <w:lang w:val="es-CO"/>
      </w:rPr>
    </w:pPr>
  </w:p>
  <w:p w14:paraId="2B25241F" w14:textId="1F0BD319" w:rsidR="007D51E3" w:rsidRDefault="007D51E3" w:rsidP="007D51E3">
    <w:pPr>
      <w:pStyle w:val="Piedepgina"/>
      <w:rPr>
        <w:rFonts w:ascii="Bookman Old Style" w:hAnsi="Bookman Old Style"/>
        <w:lang w:val="es-CO"/>
      </w:rPr>
    </w:pPr>
  </w:p>
  <w:p w14:paraId="74277082" w14:textId="380814FA" w:rsidR="007D51E3" w:rsidRPr="00D52074" w:rsidRDefault="00D52074" w:rsidP="00664571">
    <w:pPr>
      <w:pStyle w:val="Piedepgina"/>
      <w:jc w:val="center"/>
      <w:rPr>
        <w:rFonts w:ascii="Bookman Old Style" w:hAnsi="Bookman Old Style"/>
        <w:color w:val="767171" w:themeColor="background2" w:themeShade="80"/>
        <w:sz w:val="18"/>
        <w:szCs w:val="18"/>
        <w:lang w:val="es-CO"/>
      </w:rPr>
    </w:pPr>
    <w:r w:rsidRPr="00D52074">
      <w:rPr>
        <w:rFonts w:ascii="Bookman Old Style" w:hAnsi="Bookman Old Style"/>
        <w:color w:val="767171" w:themeColor="background2" w:themeShade="80"/>
        <w:sz w:val="18"/>
        <w:szCs w:val="18"/>
        <w:lang w:val="es-ES"/>
      </w:rPr>
      <w:t xml:space="preserve">Página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PAGE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1</w:t>
    </w:r>
    <w:r w:rsidRPr="00D52074">
      <w:rPr>
        <w:rFonts w:ascii="Bookman Old Style" w:hAnsi="Bookman Old Style"/>
        <w:b/>
        <w:bCs/>
        <w:color w:val="767171" w:themeColor="background2" w:themeShade="80"/>
        <w:sz w:val="18"/>
        <w:szCs w:val="18"/>
        <w:lang w:val="es-CO"/>
      </w:rPr>
      <w:fldChar w:fldCharType="end"/>
    </w:r>
    <w:r w:rsidRPr="00D52074">
      <w:rPr>
        <w:rFonts w:ascii="Bookman Old Style" w:hAnsi="Bookman Old Style"/>
        <w:color w:val="767171" w:themeColor="background2" w:themeShade="80"/>
        <w:sz w:val="18"/>
        <w:szCs w:val="18"/>
        <w:lang w:val="es-ES"/>
      </w:rPr>
      <w:t xml:space="preserve"> de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NUMPAGES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2</w:t>
    </w:r>
    <w:r w:rsidRPr="00D52074">
      <w:rPr>
        <w:rFonts w:ascii="Bookman Old Style" w:hAnsi="Bookman Old Style"/>
        <w:b/>
        <w:bCs/>
        <w:color w:val="767171" w:themeColor="background2" w:themeShade="80"/>
        <w:sz w:val="18"/>
        <w:szCs w:val="18"/>
        <w:lang w:val="es-CO"/>
      </w:rPr>
      <w:fldChar w:fldCharType="end"/>
    </w:r>
  </w:p>
  <w:p w14:paraId="27577DC8" w14:textId="17E26454" w:rsidR="007D51E3" w:rsidRDefault="007D51E3" w:rsidP="00664571">
    <w:pPr>
      <w:pStyle w:val="Piedepgina"/>
      <w:jc w:val="center"/>
      <w:rPr>
        <w:rFonts w:ascii="Bookman Old Style" w:hAnsi="Bookman Old Style"/>
        <w:lang w:val="es-CO"/>
      </w:rPr>
    </w:pPr>
  </w:p>
  <w:p w14:paraId="6D9C403A" w14:textId="28D66D03"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 xml:space="preserve">Dirección: </w:t>
    </w:r>
    <w:bookmarkStart w:id="1" w:name="_Hlk224335590"/>
    <w:r w:rsidRPr="001A4A5C">
      <w:rPr>
        <w:rFonts w:ascii="Bookman Old Style" w:hAnsi="Bookman Old Style"/>
        <w:lang w:val="es-CO"/>
      </w:rPr>
      <w:t xml:space="preserve">CRA 2 E # 15 A – 12, Barrio Abbas Turbay </w:t>
    </w:r>
  </w:p>
  <w:p w14:paraId="6BD7BB13" w14:textId="318B1BE4"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Florencia- Caquetá</w:t>
    </w:r>
  </w:p>
  <w:bookmarkEnd w:id="1"/>
  <w:p w14:paraId="5E6D9C55" w14:textId="116D4571" w:rsidR="001A4A5C" w:rsidRPr="001A4A5C" w:rsidRDefault="00F03438" w:rsidP="001A4A5C">
    <w:pPr>
      <w:pStyle w:val="Piedepgina"/>
      <w:jc w:val="center"/>
      <w:rPr>
        <w:rFonts w:ascii="Bookman Old Style" w:hAnsi="Bookman Old Style"/>
        <w:lang w:val="es-CO"/>
      </w:rPr>
    </w:pPr>
    <w:r>
      <w:rPr>
        <w:rFonts w:ascii="Bookman Old Style" w:hAnsi="Bookman Old Style"/>
        <w:noProof/>
        <w:sz w:val="24"/>
      </w:rPr>
      <mc:AlternateContent>
        <mc:Choice Requires="wps">
          <w:drawing>
            <wp:anchor distT="0" distB="0" distL="114300" distR="114300" simplePos="0" relativeHeight="251674624" behindDoc="0" locked="0" layoutInCell="1" allowOverlap="1" wp14:anchorId="2EC9C9D1" wp14:editId="6D722039">
              <wp:simplePos x="0" y="0"/>
              <wp:positionH relativeFrom="column">
                <wp:posOffset>-1104900</wp:posOffset>
              </wp:positionH>
              <wp:positionV relativeFrom="paragraph">
                <wp:posOffset>499001</wp:posOffset>
              </wp:positionV>
              <wp:extent cx="7992094" cy="285750"/>
              <wp:effectExtent l="0" t="0" r="9525" b="0"/>
              <wp:wrapNone/>
              <wp:docPr id="1974818947" name="Rectángulo 4"/>
              <wp:cNvGraphicFramePr/>
              <a:graphic xmlns:a="http://schemas.openxmlformats.org/drawingml/2006/main">
                <a:graphicData uri="http://schemas.microsoft.com/office/word/2010/wordprocessingShape">
                  <wps:wsp>
                    <wps:cNvSpPr/>
                    <wps:spPr>
                      <a:xfrm>
                        <a:off x="0" y="0"/>
                        <a:ext cx="7992094" cy="2857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3CB68" id="Rectángulo 4" o:spid="_x0000_s1026" style="position:absolute;margin-left:-87pt;margin-top:39.3pt;width:629.3pt;height:2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7MxgrwIAAJoFAAAOAAAAZHJzL2Uyb0RvYy54bWysVM1u2zAMvg/YOwi6r/6B08RBnSJokWFA 0RZth54VWY4NyKImKXGyt9mz7MVGyT/tuu4y7CKLJvmR/ETy4vLYSnIQxjagCpqcxZQIxaFs1K6g X582nxaUWMdUySQoUdCTsPRy9fHDRaeXIoUaZCkMQRBll50uaO2cXkaR5bVomT0DLRQqKzAtcyia XVQa1iF6K6M0js+jDkypDXBhLf697pV0FfCrSnB3V1VWOCILirm5cJpwbv0ZrS7YcmeYrhs+pMH+ IYuWNQqDTlDXzDGyN80fUG3DDVio3BmHNoKqargINWA1SfymmseaaRFqQXKsnmiy/w+W3x7uDWlK fLt8ni2SRZ7NKVGsxbd6QPZ+/lC7vQSSeaY6bZfo8KjvzSBZvPqyj5Vp/RcLIsfA7mliVxwd4fhz nudpnGeUcNSli9l8FuiPXry1se6zgJb4S0ENxg+kssONdRgRTUcTH8yCbMpNI2UQzG57JQ05MP/S mzRPzn3K6PKbmVSkw1rTeRwHaAUeoDeUCu19jX1V4eZOUnh4qR5EhTxhHWlwDB0qpoiMc6Fc0qtq Voo+kWQWY6AhD9/T3iNkFQA9coXxJ+wBYLTsQUbsHmaw964iNPjk3Ff0l8R658kjRAblJue2UWDe q0xiVUPk3n4kqafGs7SF8oRdZKAfL6v5psEXvGHW3TOD84SThzvC3eFRScAHgOFGSQ3m+3v/vT22 OWop6XA+C2q/7ZkRlMgvCgcgT7LMD3QQstk8RcG81mxfa9S+vQJsjAS3kebh6u2dHK+VgfYZV8na R0UVUxxjF5Q7MwpXrt8buIy4WK+DGQ6xZu5GPWruwT2rvkOfjs/M6KGNHQ7ALYyzzJZvurm39Z4K 1nsHVRNa/YXXgW9cAKFxhmXlN8xrOVi9rNTVLwAAAP//AwBQSwMEFAAGAAgAAAAhAEoM5xPgAAAA DAEAAA8AAABkcnMvZG93bnJldi54bWxMj8FuwjAQRO+V+g/WVuoNnNA0RGkchFoBpwoB/QATb+OI eJ3GDkn/vuZUbjPa0eybYjWZll2xd40lAfE8AoZUWdVQLeDrtJllwJyXpGRrCQX8ooNV+fhQyFzZ kQ54PfqahRJyuRSgve9yzl2l0Ug3tx1SuH3b3kgfbF9z1csxlJuWL6Io5UY2FD5o2eG7xupyHIyA nf9Ru+34maz38Svth0ZfPlAL8fw0rd+AeZz8fxhu+AEdysB0tgMpx1oBs3iZhDFewDJLgd0SUZYE dQ5q8ZICLwt+P6L8AwAA//8DAFBLAQItABQABgAIAAAAIQC2gziS/gAAAOEBAAATAAAAAAAAAAAA AAAAAAAAAABbQ29udGVudF9UeXBlc10ueG1sUEsBAi0AFAAGAAgAAAAhADj9If/WAAAAlAEAAAsA AAAAAAAAAAAAAAAALwEAAF9yZWxzLy5yZWxzUEsBAi0AFAAGAAgAAAAhAGfszGCvAgAAmgUAAA4A AAAAAAAAAAAAAAAALgIAAGRycy9lMm9Eb2MueG1sUEsBAi0AFAAGAAgAAAAhAEoM5xPgAAAADAEA AA8AAAAAAAAAAAAAAAAACQUAAGRycy9kb3ducmV2LnhtbFBLBQYAAAAABAAEAPMAAAAWBgAAAAA= " fillcolor="#0f2916" stroked="f" strokeweight="1pt"/>
          </w:pict>
        </mc:Fallback>
      </mc:AlternateContent>
    </w:r>
    <w:r w:rsidR="00664571" w:rsidRPr="001A4A5C">
      <w:rPr>
        <w:rFonts w:ascii="Bookman Old Style" w:hAnsi="Bookman Old Style"/>
        <w:lang w:val="es-CO"/>
      </w:rPr>
      <w:t>Correo</w:t>
    </w:r>
    <w:bookmarkStart w:id="2" w:name="_Hlk224335619"/>
    <w:bookmarkStart w:id="3" w:name="_Hlk224335620"/>
    <w:r w:rsidR="00664571" w:rsidRPr="001A4A5C">
      <w:rPr>
        <w:rFonts w:ascii="Bookman Old Style" w:hAnsi="Bookman Old Style"/>
        <w:lang w:val="es-CO"/>
      </w:rPr>
      <w:t xml:space="preserve">:  </w:t>
    </w:r>
    <w:hyperlink r:id="rId1" w:history="1">
      <w:r w:rsidR="001A4A5C" w:rsidRPr="001A4A5C">
        <w:rPr>
          <w:rStyle w:val="Hipervnculo"/>
          <w:rFonts w:ascii="Bookman Old Style" w:hAnsi="Bookman Old Style"/>
          <w:lang w:val="es-CO"/>
        </w:rPr>
        <w:t>ing3dreco@gmail.com</w:t>
      </w:r>
    </w:hyperlink>
    <w:r w:rsidR="001A4A5C" w:rsidRPr="001A4A5C">
      <w:rPr>
        <w:rFonts w:ascii="Bookman Old Style" w:hAnsi="Bookman Old Style"/>
        <w:lang w:val="es-CO"/>
      </w:rPr>
      <w:br/>
      <w:t>teléfono:</w:t>
    </w:r>
    <w:r w:rsidR="001A4A5C">
      <w:rPr>
        <w:rFonts w:ascii="Bookman Old Style" w:hAnsi="Bookman Old Style"/>
        <w:lang w:val="es-CO"/>
      </w:rPr>
      <w:t xml:space="preserve"> 3227590147</w:t>
    </w:r>
    <w:bookmarkEnd w:id="2"/>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0FDC36" w14:textId="77777777" w:rsidR="0000291A" w:rsidRDefault="0000291A" w:rsidP="00BC328F">
      <w:pPr>
        <w:spacing w:after="0" w:line="240" w:lineRule="auto"/>
      </w:pPr>
      <w:bookmarkStart w:id="0" w:name="_Hlk146618359"/>
      <w:bookmarkEnd w:id="0"/>
      <w:r>
        <w:separator/>
      </w:r>
    </w:p>
  </w:footnote>
  <w:footnote w:type="continuationSeparator" w:id="0">
    <w:p w14:paraId="3FB9D832" w14:textId="77777777" w:rsidR="0000291A" w:rsidRDefault="0000291A" w:rsidP="00BC32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8AEAF" w14:textId="586A638D" w:rsidR="00BC328F" w:rsidRDefault="007217C5" w:rsidP="00F03438">
    <w:pPr>
      <w:spacing w:after="0" w:line="240" w:lineRule="auto"/>
      <w:contextualSpacing/>
    </w:pPr>
    <w:r>
      <w:rPr>
        <w:rFonts w:ascii="Bookman Old Style" w:hAnsi="Bookman Old Style"/>
        <w:noProof/>
        <w:sz w:val="24"/>
      </w:rPr>
      <w:drawing>
        <wp:anchor distT="0" distB="0" distL="114300" distR="114300" simplePos="0" relativeHeight="251670528" behindDoc="0" locked="0" layoutInCell="1" allowOverlap="1" wp14:anchorId="1CECD43A" wp14:editId="1CAC11F4">
          <wp:simplePos x="0" y="0"/>
          <wp:positionH relativeFrom="column">
            <wp:posOffset>1985010</wp:posOffset>
          </wp:positionH>
          <wp:positionV relativeFrom="paragraph">
            <wp:posOffset>48932</wp:posOffset>
          </wp:positionV>
          <wp:extent cx="1431925" cy="1059180"/>
          <wp:effectExtent l="0" t="0" r="0" b="7620"/>
          <wp:wrapTopAndBottom/>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pic:cNvPicPr/>
                </pic:nvPicPr>
                <pic:blipFill rotWithShape="1">
                  <a:blip r:embed="rId1">
                    <a:extLst>
                      <a:ext uri="{28A0092B-C50C-407E-A947-70E740481C1C}">
                        <a14:useLocalDpi xmlns:a14="http://schemas.microsoft.com/office/drawing/2010/main" val="0"/>
                      </a:ext>
                    </a:extLst>
                  </a:blip>
                  <a:srcRect t="-1877" b="-1546"/>
                  <a:stretch/>
                </pic:blipFill>
                <pic:spPr bwMode="auto">
                  <a:xfrm>
                    <a:off x="0" y="0"/>
                    <a:ext cx="1431925" cy="1059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4F56">
      <w:rPr>
        <w:rFonts w:ascii="Bookman Old Style" w:hAnsi="Bookman Old Style"/>
        <w:noProof/>
        <w:sz w:val="24"/>
      </w:rPr>
      <mc:AlternateContent>
        <mc:Choice Requires="wps">
          <w:drawing>
            <wp:anchor distT="0" distB="0" distL="114300" distR="114300" simplePos="0" relativeHeight="251672576" behindDoc="0" locked="0" layoutInCell="1" allowOverlap="1" wp14:anchorId="71C32EE6" wp14:editId="70C2D5E4">
              <wp:simplePos x="0" y="0"/>
              <wp:positionH relativeFrom="column">
                <wp:posOffset>-1187450</wp:posOffset>
              </wp:positionH>
              <wp:positionV relativeFrom="paragraph">
                <wp:posOffset>-434340</wp:posOffset>
              </wp:positionV>
              <wp:extent cx="8074025" cy="438150"/>
              <wp:effectExtent l="0" t="0" r="3175" b="0"/>
              <wp:wrapNone/>
              <wp:docPr id="1477698189" name="Rectángulo 4"/>
              <wp:cNvGraphicFramePr/>
              <a:graphic xmlns:a="http://schemas.openxmlformats.org/drawingml/2006/main">
                <a:graphicData uri="http://schemas.microsoft.com/office/word/2010/wordprocessingShape">
                  <wps:wsp>
                    <wps:cNvSpPr/>
                    <wps:spPr>
                      <a:xfrm>
                        <a:off x="0" y="0"/>
                        <a:ext cx="8074025" cy="4381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C4ADD" id="Rectángulo 4" o:spid="_x0000_s1026" style="position:absolute;margin-left:-93.5pt;margin-top:-34.2pt;width:635.75pt;height:3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dPUXrQIAAJoFAAAOAAAAZHJzL2Uyb0RvYy54bWysVNtOHDEMfa/Uf4jyXubSgb2IWbQCbVUJ AQIqnrOZZGekTJwm2Vv/pt/SH8PJXKCUvlR9ycRj+9g+sX1+cWgV2QnrGtAlzU5SSoTmUDV6U9Jv j6tPU0qcZ7piCrQo6VE4erH4+OF8b+YihxpUJSxBEO3me1PS2nszTxLHa9EydwJGaFRKsC3zKNpN Ulm2R/RWJXmaniV7sJWxwIVz+PeqU9JFxJdScH8rpROeqJJibj6eNp7rcCaLczbfWGbqhvdpsH/I omWNxqAj1BXzjGxt8wdU23ALDqQ/4dAmIGXDRawBq8nSN9U81MyIWAuS48xIk/t/sPxmd2dJU+Hb FZPJ2WyaTWeUaNbiW90je79+6s1WASkCU3vj5ujwYO5sLzm8hrIP0rbhiwWRQ2T3OLIrDp5w/DlN J0Wan1LCUVd8nmankf7kxdtY578IaEm4lNRi/Egq2107jxHRdDAJwRyoplo1SkXBbtaXypIdCy+9 ymfZWUgZXX4zU5rssdZ8kqYRWkMA6AyVRvtQY1dVvPmjEgFe6XshkSesI4+OsUPFGJFxLrTPOlXN KtElgjVioD6P0NPBI2YVAQOyxPgjdg8wWHYgA3YH09sHVxEbfHTuKvpLYp3z6BEjg/ajc9tosO9V prCqPnJnP5DUURNYWkN1xC6y0I2XM3zV4AteM+fvmMV5wsnDHeFv8ZAK8AGgv1FSg/3x3v9gj22O Wkr2OJ8ldd+3zApK1FeNAzDLiiIMdBSK00mOgn2tWb/W6G17CdgYGW4jw+M12Hs1XKWF9glXyTJE RRXTHGOXlHs7CJe+2xu4jLhYLqMZDrFh/lo/GB7AA6uhQx8PT8yavo09DsANDLPM5m+6ubMNnhqW Ww+yia3+wmvPNy6A2Dj9sgob5rUcrV5W6uIZAAD//wMAUEsDBBQABgAIAAAAIQBq9h8n3wAAAAoB AAAPAAAAZHJzL2Rvd25yZXYueG1sTI/BbsIwEETvlfoP1iL1Bk6qEKI0DkJFlFOFgH6AiZc4Il6n sUPSv685tbdZzWj2TbGeTMvu2LvGkoB4EQFDqqxqqBbwdd7NM2DOS1KytYQCftDBunx+KmSu7EhH vJ98zUIJuVwK0N53Oeeu0mikW9gOKXhX2xvpw9nXXPVyDOWm5a9RlHIjGwoftOzwXWN1Ow1GwN5/ q/3H+JlsDvGSDkOjb1vUQrzMps0bMI+T/wvDAz+gQxmYLnYg5VgrYB5nqzDGB5VmCbBHJMqSJbCL gBR4WfD/E8pfAAAA//8DAFBLAQItABQABgAIAAAAIQC2gziS/gAAAOEBAAATAAAAAAAAAAAAAAAA AAAAAABbQ29udGVudF9UeXBlc10ueG1sUEsBAi0AFAAGAAgAAAAhADj9If/WAAAAlAEAAAsAAAAA AAAAAAAAAAAALwEAAF9yZWxzLy5yZWxzUEsBAi0AFAAGAAgAAAAhAJ509RetAgAAmgUAAA4AAAAA AAAAAAAAAAAALgIAAGRycy9lMm9Eb2MueG1sUEsBAi0AFAAGAAgAAAAhAGr2HyffAAAACgEAAA8A AAAAAAAAAAAAAAAABwUAAGRycy9kb3ducmV2LnhtbFBLBQYAAAAABAAEAPMAAAATBgAAAAA= " fillcolor="#0f2916" stroked="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0349D"/>
    <w:multiLevelType w:val="hybridMultilevel"/>
    <w:tmpl w:val="68DEA072"/>
    <w:lvl w:ilvl="0" w:tplc="240A000F">
      <w:start w:val="1"/>
      <w:numFmt w:val="decimal"/>
      <w:lvlText w:val="%1."/>
      <w:lvlJc w:val="left"/>
      <w:pPr>
        <w:ind w:left="795" w:hanging="360"/>
      </w:pPr>
    </w:lvl>
    <w:lvl w:ilvl="1" w:tplc="240A0019" w:tentative="1">
      <w:start w:val="1"/>
      <w:numFmt w:val="lowerLetter"/>
      <w:lvlText w:val="%2."/>
      <w:lvlJc w:val="left"/>
      <w:pPr>
        <w:ind w:left="1515" w:hanging="360"/>
      </w:pPr>
    </w:lvl>
    <w:lvl w:ilvl="2" w:tplc="240A001B" w:tentative="1">
      <w:start w:val="1"/>
      <w:numFmt w:val="lowerRoman"/>
      <w:lvlText w:val="%3."/>
      <w:lvlJc w:val="right"/>
      <w:pPr>
        <w:ind w:left="2235" w:hanging="180"/>
      </w:pPr>
    </w:lvl>
    <w:lvl w:ilvl="3" w:tplc="240A000F" w:tentative="1">
      <w:start w:val="1"/>
      <w:numFmt w:val="decimal"/>
      <w:lvlText w:val="%4."/>
      <w:lvlJc w:val="left"/>
      <w:pPr>
        <w:ind w:left="2955" w:hanging="360"/>
      </w:pPr>
    </w:lvl>
    <w:lvl w:ilvl="4" w:tplc="240A0019" w:tentative="1">
      <w:start w:val="1"/>
      <w:numFmt w:val="lowerLetter"/>
      <w:lvlText w:val="%5."/>
      <w:lvlJc w:val="left"/>
      <w:pPr>
        <w:ind w:left="3675" w:hanging="360"/>
      </w:pPr>
    </w:lvl>
    <w:lvl w:ilvl="5" w:tplc="240A001B" w:tentative="1">
      <w:start w:val="1"/>
      <w:numFmt w:val="lowerRoman"/>
      <w:lvlText w:val="%6."/>
      <w:lvlJc w:val="right"/>
      <w:pPr>
        <w:ind w:left="4395" w:hanging="180"/>
      </w:pPr>
    </w:lvl>
    <w:lvl w:ilvl="6" w:tplc="240A000F" w:tentative="1">
      <w:start w:val="1"/>
      <w:numFmt w:val="decimal"/>
      <w:lvlText w:val="%7."/>
      <w:lvlJc w:val="left"/>
      <w:pPr>
        <w:ind w:left="5115" w:hanging="360"/>
      </w:pPr>
    </w:lvl>
    <w:lvl w:ilvl="7" w:tplc="240A0019" w:tentative="1">
      <w:start w:val="1"/>
      <w:numFmt w:val="lowerLetter"/>
      <w:lvlText w:val="%8."/>
      <w:lvlJc w:val="left"/>
      <w:pPr>
        <w:ind w:left="5835" w:hanging="360"/>
      </w:pPr>
    </w:lvl>
    <w:lvl w:ilvl="8" w:tplc="240A001B" w:tentative="1">
      <w:start w:val="1"/>
      <w:numFmt w:val="lowerRoman"/>
      <w:lvlText w:val="%9."/>
      <w:lvlJc w:val="right"/>
      <w:pPr>
        <w:ind w:left="6555" w:hanging="180"/>
      </w:pPr>
    </w:lvl>
  </w:abstractNum>
  <w:abstractNum w:abstractNumId="1" w15:restartNumberingAfterBreak="0">
    <w:nsid w:val="239252BF"/>
    <w:multiLevelType w:val="hybridMultilevel"/>
    <w:tmpl w:val="75B08024"/>
    <w:lvl w:ilvl="0" w:tplc="6AE8AC16">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2" w15:restartNumberingAfterBreak="0">
    <w:nsid w:val="2EF357B0"/>
    <w:multiLevelType w:val="hybridMultilevel"/>
    <w:tmpl w:val="1FE85B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3695356F"/>
    <w:multiLevelType w:val="hybridMultilevel"/>
    <w:tmpl w:val="268AEF54"/>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46A55A66"/>
    <w:multiLevelType w:val="hybridMultilevel"/>
    <w:tmpl w:val="EED888B8"/>
    <w:lvl w:ilvl="0" w:tplc="AC0A88A0">
      <w:start w:val="1"/>
      <w:numFmt w:val="upperLetter"/>
      <w:lvlText w:val="%1."/>
      <w:lvlJc w:val="left"/>
      <w:pPr>
        <w:ind w:left="-66" w:hanging="360"/>
      </w:pPr>
      <w:rPr>
        <w:rFonts w:hint="default"/>
        <w:b/>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5" w15:restartNumberingAfterBreak="0">
    <w:nsid w:val="513E74D7"/>
    <w:multiLevelType w:val="hybridMultilevel"/>
    <w:tmpl w:val="3FD6614E"/>
    <w:lvl w:ilvl="0" w:tplc="41280D8A">
      <w:start w:val="1"/>
      <w:numFmt w:val="upp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661574B3"/>
    <w:multiLevelType w:val="hybridMultilevel"/>
    <w:tmpl w:val="71A89C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2"/>
  </w:num>
  <w:num w:numId="4">
    <w:abstractNumId w:val="1"/>
  </w:num>
  <w:num w:numId="5">
    <w:abstractNumId w:val="4"/>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D68"/>
    <w:rsid w:val="0000291A"/>
    <w:rsid w:val="0000677F"/>
    <w:rsid w:val="0002720E"/>
    <w:rsid w:val="000705F3"/>
    <w:rsid w:val="0007492F"/>
    <w:rsid w:val="00092AE4"/>
    <w:rsid w:val="00095890"/>
    <w:rsid w:val="000C380D"/>
    <w:rsid w:val="000F0E49"/>
    <w:rsid w:val="00105BB1"/>
    <w:rsid w:val="00121216"/>
    <w:rsid w:val="001417D4"/>
    <w:rsid w:val="00144A76"/>
    <w:rsid w:val="00164F68"/>
    <w:rsid w:val="00171A31"/>
    <w:rsid w:val="00177CAB"/>
    <w:rsid w:val="001A0694"/>
    <w:rsid w:val="001A4A5C"/>
    <w:rsid w:val="001C6732"/>
    <w:rsid w:val="001D4FA0"/>
    <w:rsid w:val="001E2EC6"/>
    <w:rsid w:val="00202DFD"/>
    <w:rsid w:val="002112AB"/>
    <w:rsid w:val="002168AE"/>
    <w:rsid w:val="0023645F"/>
    <w:rsid w:val="00244284"/>
    <w:rsid w:val="00244E6A"/>
    <w:rsid w:val="002450D2"/>
    <w:rsid w:val="00245C65"/>
    <w:rsid w:val="00250DA1"/>
    <w:rsid w:val="002F4150"/>
    <w:rsid w:val="002F7B20"/>
    <w:rsid w:val="00371166"/>
    <w:rsid w:val="00377CBD"/>
    <w:rsid w:val="00392F86"/>
    <w:rsid w:val="003B58DC"/>
    <w:rsid w:val="003E2682"/>
    <w:rsid w:val="00401DFD"/>
    <w:rsid w:val="00406031"/>
    <w:rsid w:val="004213E4"/>
    <w:rsid w:val="00421E3F"/>
    <w:rsid w:val="00422818"/>
    <w:rsid w:val="00443E7D"/>
    <w:rsid w:val="00444603"/>
    <w:rsid w:val="00445B80"/>
    <w:rsid w:val="00454C2C"/>
    <w:rsid w:val="00457B2F"/>
    <w:rsid w:val="004C0F0E"/>
    <w:rsid w:val="004C58CD"/>
    <w:rsid w:val="004F3C8C"/>
    <w:rsid w:val="00505D87"/>
    <w:rsid w:val="00530ED9"/>
    <w:rsid w:val="00534BC4"/>
    <w:rsid w:val="00551A0F"/>
    <w:rsid w:val="00561B81"/>
    <w:rsid w:val="00563A95"/>
    <w:rsid w:val="0057560A"/>
    <w:rsid w:val="00581297"/>
    <w:rsid w:val="005A240E"/>
    <w:rsid w:val="005A433C"/>
    <w:rsid w:val="005C7BE4"/>
    <w:rsid w:val="005E6A65"/>
    <w:rsid w:val="006135DF"/>
    <w:rsid w:val="0062148D"/>
    <w:rsid w:val="0062495E"/>
    <w:rsid w:val="00664571"/>
    <w:rsid w:val="00664806"/>
    <w:rsid w:val="00665CAF"/>
    <w:rsid w:val="00666C03"/>
    <w:rsid w:val="00676324"/>
    <w:rsid w:val="00717A63"/>
    <w:rsid w:val="007217C5"/>
    <w:rsid w:val="00767D84"/>
    <w:rsid w:val="007874A8"/>
    <w:rsid w:val="007A050C"/>
    <w:rsid w:val="007B5573"/>
    <w:rsid w:val="007D0185"/>
    <w:rsid w:val="007D100F"/>
    <w:rsid w:val="007D51E3"/>
    <w:rsid w:val="007F7325"/>
    <w:rsid w:val="008069CE"/>
    <w:rsid w:val="0082601D"/>
    <w:rsid w:val="00853F6A"/>
    <w:rsid w:val="00853FEE"/>
    <w:rsid w:val="00860ADE"/>
    <w:rsid w:val="0086380D"/>
    <w:rsid w:val="00874F56"/>
    <w:rsid w:val="00892605"/>
    <w:rsid w:val="008A063E"/>
    <w:rsid w:val="008C0F65"/>
    <w:rsid w:val="008C27C8"/>
    <w:rsid w:val="008F4F6D"/>
    <w:rsid w:val="0091282D"/>
    <w:rsid w:val="00922BF6"/>
    <w:rsid w:val="009461C1"/>
    <w:rsid w:val="009A5E9F"/>
    <w:rsid w:val="009D6C95"/>
    <w:rsid w:val="009F718E"/>
    <w:rsid w:val="00A174E0"/>
    <w:rsid w:val="00A50408"/>
    <w:rsid w:val="00A55736"/>
    <w:rsid w:val="00A649E4"/>
    <w:rsid w:val="00A86309"/>
    <w:rsid w:val="00A92BBA"/>
    <w:rsid w:val="00AA2A82"/>
    <w:rsid w:val="00AB348C"/>
    <w:rsid w:val="00AC069C"/>
    <w:rsid w:val="00AE50F2"/>
    <w:rsid w:val="00AF2CB0"/>
    <w:rsid w:val="00B54313"/>
    <w:rsid w:val="00B766AF"/>
    <w:rsid w:val="00B77B68"/>
    <w:rsid w:val="00BC328F"/>
    <w:rsid w:val="00BD1169"/>
    <w:rsid w:val="00BE426B"/>
    <w:rsid w:val="00BF2C41"/>
    <w:rsid w:val="00C26E15"/>
    <w:rsid w:val="00C53AA9"/>
    <w:rsid w:val="00CA59DE"/>
    <w:rsid w:val="00CC585D"/>
    <w:rsid w:val="00CD3346"/>
    <w:rsid w:val="00CD3BF9"/>
    <w:rsid w:val="00CE2388"/>
    <w:rsid w:val="00CF6863"/>
    <w:rsid w:val="00D017DB"/>
    <w:rsid w:val="00D07069"/>
    <w:rsid w:val="00D52074"/>
    <w:rsid w:val="00D57D68"/>
    <w:rsid w:val="00D650BA"/>
    <w:rsid w:val="00D65B38"/>
    <w:rsid w:val="00D65B79"/>
    <w:rsid w:val="00D70DAF"/>
    <w:rsid w:val="00D71511"/>
    <w:rsid w:val="00D74E26"/>
    <w:rsid w:val="00D81582"/>
    <w:rsid w:val="00D83B1E"/>
    <w:rsid w:val="00DA79D9"/>
    <w:rsid w:val="00DB379D"/>
    <w:rsid w:val="00DD43B9"/>
    <w:rsid w:val="00E16561"/>
    <w:rsid w:val="00E26AF1"/>
    <w:rsid w:val="00E52C39"/>
    <w:rsid w:val="00E64310"/>
    <w:rsid w:val="00E85A9E"/>
    <w:rsid w:val="00EA0A83"/>
    <w:rsid w:val="00EC79EF"/>
    <w:rsid w:val="00ED64EC"/>
    <w:rsid w:val="00EF6BED"/>
    <w:rsid w:val="00EF764E"/>
    <w:rsid w:val="00F03438"/>
    <w:rsid w:val="00F15BA3"/>
    <w:rsid w:val="00F9198B"/>
    <w:rsid w:val="00FB6F1C"/>
    <w:rsid w:val="00FE1B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8F2CCA"/>
  <w15:chartTrackingRefBased/>
  <w15:docId w15:val="{ABD8A553-61D9-4FFC-8EB5-60D1460C0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7D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53FEE"/>
    <w:pPr>
      <w:spacing w:after="0" w:line="240" w:lineRule="auto"/>
    </w:pPr>
  </w:style>
  <w:style w:type="paragraph" w:customStyle="1" w:styleId="Default">
    <w:name w:val="Default"/>
    <w:rsid w:val="00171A31"/>
    <w:pPr>
      <w:autoSpaceDE w:val="0"/>
      <w:autoSpaceDN w:val="0"/>
      <w:adjustRightInd w:val="0"/>
      <w:spacing w:after="0" w:line="240" w:lineRule="auto"/>
    </w:pPr>
    <w:rPr>
      <w:rFonts w:ascii="Arial" w:hAnsi="Arial" w:cs="Arial"/>
      <w:color w:val="000000"/>
      <w:sz w:val="24"/>
      <w:szCs w:val="24"/>
    </w:rPr>
  </w:style>
  <w:style w:type="paragraph" w:styleId="Textodeglobo">
    <w:name w:val="Balloon Text"/>
    <w:basedOn w:val="Normal"/>
    <w:link w:val="TextodegloboCar"/>
    <w:uiPriority w:val="99"/>
    <w:semiHidden/>
    <w:unhideWhenUsed/>
    <w:rsid w:val="00860AD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60ADE"/>
    <w:rPr>
      <w:rFonts w:ascii="Segoe UI" w:hAnsi="Segoe UI" w:cs="Segoe UI"/>
      <w:sz w:val="18"/>
      <w:szCs w:val="18"/>
    </w:rPr>
  </w:style>
  <w:style w:type="paragraph" w:styleId="Encabezado">
    <w:name w:val="header"/>
    <w:basedOn w:val="Normal"/>
    <w:link w:val="EncabezadoCar"/>
    <w:uiPriority w:val="99"/>
    <w:unhideWhenUsed/>
    <w:rsid w:val="00BC328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28F"/>
  </w:style>
  <w:style w:type="paragraph" w:styleId="Piedepgina">
    <w:name w:val="footer"/>
    <w:basedOn w:val="Normal"/>
    <w:link w:val="PiedepginaCar"/>
    <w:uiPriority w:val="99"/>
    <w:unhideWhenUsed/>
    <w:rsid w:val="00BC328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28F"/>
  </w:style>
  <w:style w:type="character" w:styleId="Hipervnculo">
    <w:name w:val="Hyperlink"/>
    <w:basedOn w:val="Fuentedeprrafopredeter"/>
    <w:uiPriority w:val="99"/>
    <w:unhideWhenUsed/>
    <w:rsid w:val="007D100F"/>
    <w:rPr>
      <w:color w:val="0563C1" w:themeColor="hyperlink"/>
      <w:u w:val="single"/>
    </w:rPr>
  </w:style>
  <w:style w:type="character" w:styleId="Mencinsinresolver">
    <w:name w:val="Unresolved Mention"/>
    <w:basedOn w:val="Fuentedeprrafopredeter"/>
    <w:uiPriority w:val="99"/>
    <w:semiHidden/>
    <w:unhideWhenUsed/>
    <w:rsid w:val="007D100F"/>
    <w:rPr>
      <w:color w:val="605E5C"/>
      <w:shd w:val="clear" w:color="auto" w:fill="E1DFDD"/>
    </w:rPr>
  </w:style>
  <w:style w:type="paragraph" w:styleId="NormalWeb">
    <w:name w:val="Normal (Web)"/>
    <w:basedOn w:val="Normal"/>
    <w:uiPriority w:val="99"/>
    <w:semiHidden/>
    <w:unhideWhenUsed/>
    <w:rsid w:val="008C27C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styleId="Prrafodelista">
    <w:name w:val="List Paragraph"/>
    <w:basedOn w:val="Normal"/>
    <w:uiPriority w:val="34"/>
    <w:qFormat/>
    <w:rsid w:val="00AE50F2"/>
    <w:pPr>
      <w:ind w:left="720"/>
      <w:contextualSpacing/>
    </w:pPr>
  </w:style>
  <w:style w:type="table" w:styleId="Tablaconcuadrcula">
    <w:name w:val="Table Grid"/>
    <w:basedOn w:val="Tablanormal"/>
    <w:uiPriority w:val="39"/>
    <w:rsid w:val="001417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unhideWhenUsed/>
    <w:rsid w:val="00D520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245305">
      <w:bodyDiv w:val="1"/>
      <w:marLeft w:val="0"/>
      <w:marRight w:val="0"/>
      <w:marTop w:val="0"/>
      <w:marBottom w:val="0"/>
      <w:divBdr>
        <w:top w:val="none" w:sz="0" w:space="0" w:color="auto"/>
        <w:left w:val="none" w:sz="0" w:space="0" w:color="auto"/>
        <w:bottom w:val="none" w:sz="0" w:space="0" w:color="auto"/>
        <w:right w:val="none" w:sz="0" w:space="0" w:color="auto"/>
      </w:divBdr>
    </w:div>
    <w:div w:id="454980596">
      <w:bodyDiv w:val="1"/>
      <w:marLeft w:val="0"/>
      <w:marRight w:val="0"/>
      <w:marTop w:val="0"/>
      <w:marBottom w:val="0"/>
      <w:divBdr>
        <w:top w:val="none" w:sz="0" w:space="0" w:color="auto"/>
        <w:left w:val="none" w:sz="0" w:space="0" w:color="auto"/>
        <w:bottom w:val="none" w:sz="0" w:space="0" w:color="auto"/>
        <w:right w:val="none" w:sz="0" w:space="0" w:color="auto"/>
      </w:divBdr>
      <w:divsChild>
        <w:div w:id="349836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758625">
      <w:bodyDiv w:val="1"/>
      <w:marLeft w:val="0"/>
      <w:marRight w:val="0"/>
      <w:marTop w:val="0"/>
      <w:marBottom w:val="0"/>
      <w:divBdr>
        <w:top w:val="none" w:sz="0" w:space="0" w:color="auto"/>
        <w:left w:val="none" w:sz="0" w:space="0" w:color="auto"/>
        <w:bottom w:val="none" w:sz="0" w:space="0" w:color="auto"/>
        <w:right w:val="none" w:sz="0" w:space="0" w:color="auto"/>
      </w:divBdr>
    </w:div>
    <w:div w:id="1084378882">
      <w:bodyDiv w:val="1"/>
      <w:marLeft w:val="0"/>
      <w:marRight w:val="0"/>
      <w:marTop w:val="0"/>
      <w:marBottom w:val="0"/>
      <w:divBdr>
        <w:top w:val="none" w:sz="0" w:space="0" w:color="auto"/>
        <w:left w:val="none" w:sz="0" w:space="0" w:color="auto"/>
        <w:bottom w:val="none" w:sz="0" w:space="0" w:color="auto"/>
        <w:right w:val="none" w:sz="0" w:space="0" w:color="auto"/>
      </w:divBdr>
    </w:div>
    <w:div w:id="1348293278">
      <w:bodyDiv w:val="1"/>
      <w:marLeft w:val="0"/>
      <w:marRight w:val="0"/>
      <w:marTop w:val="0"/>
      <w:marBottom w:val="0"/>
      <w:divBdr>
        <w:top w:val="none" w:sz="0" w:space="0" w:color="auto"/>
        <w:left w:val="none" w:sz="0" w:space="0" w:color="auto"/>
        <w:bottom w:val="none" w:sz="0" w:space="0" w:color="auto"/>
        <w:right w:val="none" w:sz="0" w:space="0" w:color="auto"/>
      </w:divBdr>
    </w:div>
    <w:div w:id="1839153991">
      <w:bodyDiv w:val="1"/>
      <w:marLeft w:val="0"/>
      <w:marRight w:val="0"/>
      <w:marTop w:val="0"/>
      <w:marBottom w:val="0"/>
      <w:divBdr>
        <w:top w:val="none" w:sz="0" w:space="0" w:color="auto"/>
        <w:left w:val="none" w:sz="0" w:space="0" w:color="auto"/>
        <w:bottom w:val="none" w:sz="0" w:space="0" w:color="auto"/>
        <w:right w:val="none" w:sz="0" w:space="0" w:color="auto"/>
      </w:divBdr>
    </w:div>
    <w:div w:id="1908876481">
      <w:bodyDiv w:val="1"/>
      <w:marLeft w:val="0"/>
      <w:marRight w:val="0"/>
      <w:marTop w:val="0"/>
      <w:marBottom w:val="0"/>
      <w:divBdr>
        <w:top w:val="none" w:sz="0" w:space="0" w:color="auto"/>
        <w:left w:val="none" w:sz="0" w:space="0" w:color="auto"/>
        <w:bottom w:val="none" w:sz="0" w:space="0" w:color="auto"/>
        <w:right w:val="none" w:sz="0" w:space="0" w:color="auto"/>
      </w:divBdr>
    </w:div>
    <w:div w:id="2035156121">
      <w:bodyDiv w:val="1"/>
      <w:marLeft w:val="0"/>
      <w:marRight w:val="0"/>
      <w:marTop w:val="0"/>
      <w:marBottom w:val="0"/>
      <w:divBdr>
        <w:top w:val="none" w:sz="0" w:space="0" w:color="auto"/>
        <w:left w:val="none" w:sz="0" w:space="0" w:color="auto"/>
        <w:bottom w:val="none" w:sz="0" w:space="0" w:color="auto"/>
        <w:right w:val="none" w:sz="0" w:space="0" w:color="auto"/>
      </w:divBdr>
    </w:div>
    <w:div w:id="2081902261">
      <w:bodyDiv w:val="1"/>
      <w:marLeft w:val="0"/>
      <w:marRight w:val="0"/>
      <w:marTop w:val="0"/>
      <w:marBottom w:val="0"/>
      <w:divBdr>
        <w:top w:val="none" w:sz="0" w:space="0" w:color="auto"/>
        <w:left w:val="none" w:sz="0" w:space="0" w:color="auto"/>
        <w:bottom w:val="none" w:sz="0" w:space="0" w:color="auto"/>
        <w:right w:val="none" w:sz="0" w:space="0" w:color="auto"/>
      </w:divBdr>
    </w:div>
    <w:div w:id="2084184699">
      <w:bodyDiv w:val="1"/>
      <w:marLeft w:val="0"/>
      <w:marRight w:val="0"/>
      <w:marTop w:val="0"/>
      <w:marBottom w:val="0"/>
      <w:divBdr>
        <w:top w:val="none" w:sz="0" w:space="0" w:color="auto"/>
        <w:left w:val="none" w:sz="0" w:space="0" w:color="auto"/>
        <w:bottom w:val="none" w:sz="0" w:space="0" w:color="auto"/>
        <w:right w:val="none" w:sz="0" w:space="0" w:color="auto"/>
      </w:divBdr>
    </w:div>
    <w:div w:id="2107801106">
      <w:bodyDiv w:val="1"/>
      <w:marLeft w:val="0"/>
      <w:marRight w:val="0"/>
      <w:marTop w:val="0"/>
      <w:marBottom w:val="0"/>
      <w:divBdr>
        <w:top w:val="none" w:sz="0" w:space="0" w:color="auto"/>
        <w:left w:val="none" w:sz="0" w:space="0" w:color="auto"/>
        <w:bottom w:val="none" w:sz="0" w:space="0" w:color="auto"/>
        <w:right w:val="none" w:sz="0" w:space="0" w:color="auto"/>
      </w:divBdr>
    </w:div>
    <w:div w:id="2137411264">
      <w:bodyDiv w:val="1"/>
      <w:marLeft w:val="0"/>
      <w:marRight w:val="0"/>
      <w:marTop w:val="0"/>
      <w:marBottom w:val="0"/>
      <w:divBdr>
        <w:top w:val="none" w:sz="0" w:space="0" w:color="auto"/>
        <w:left w:val="none" w:sz="0" w:space="0" w:color="auto"/>
        <w:bottom w:val="none" w:sz="0" w:space="0" w:color="auto"/>
        <w:right w:val="none" w:sz="0" w:space="0" w:color="auto"/>
      </w:divBdr>
      <w:divsChild>
        <w:div w:id="187499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ing3dreco@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636</TotalTime>
  <Pages>7</Pages>
  <Words>2692</Words>
  <Characters>14807</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Jorge Alfredo Miranda Londoño</cp:lastModifiedBy>
  <cp:revision>25</cp:revision>
  <cp:lastPrinted>2026-04-07T05:00:00Z</cp:lastPrinted>
  <dcterms:created xsi:type="dcterms:W3CDTF">2026-03-29T02:49:00Z</dcterms:created>
  <dcterms:modified xsi:type="dcterms:W3CDTF">2026-09-07T16:59:00Z</dcterms:modified>
</cp:coreProperties>
</file>