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1F2FD" w14:textId="2E3AAE67" w:rsidR="00457B2F" w:rsidRDefault="0062495E" w:rsidP="00445B80">
      <w:pPr>
        <w:ind w:left="720"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CONTRATO PROMESA DE COMPRAVENTA DE UN LOTE DE TERRENO</w:t>
      </w:r>
    </w:p>
    <w:p w14:paraId="1C41833B" w14:textId="77777777" w:rsidR="00A92BBA" w:rsidRPr="00A92BBA" w:rsidRDefault="00A92BBA" w:rsidP="00A92BBA">
      <w:pPr>
        <w:ind w:right="-234"/>
        <w:jc w:val="center"/>
        <w:rPr>
          <w:rFonts w:ascii="Arial" w:eastAsia="Times New Roman" w:hAnsi="Arial" w:cs="Arial"/>
          <w:b/>
          <w:bCs/>
          <w:color w:val="000000"/>
          <w:lang w:val="es-CO" w:eastAsia="es-CO"/>
        </w:rPr>
      </w:pPr>
    </w:p>
    <w:p w14:paraId="1DB25574" w14:textId="7B638981"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Conste por medio del presente instrumento el CONTRATO DE PROMESA DE COMPRAVENTA que celebran, de una parte, ING3DRECO SAS, sociedad comercial identificada con NIT 901580047-1, legalmente constituida conforme a las leyes colombianas, representada legalmente por ANDREA LIZETH CABRERA SUESCUN, colombiana, mayor de edad, domiciliada en Florencia (Caquetá), identificada con cédula de ciudadanía No. 1.127.388.759 expedida en Puerto Carreño (Vichada), quien actúa en calidad de Representante Legal del proyecto de urbanismo ARAGUATOS del Plan Parcial LAS MESITAS, parte que para los efectos de este contrato se denominará LA PROMITENTE VENDEDORA; y de otra parte, {NOMBRE_COMPLETO}, de nacionalidad {NACIONALIDAD}, mayor de edad, </w:t>
      </w:r>
      <w:r w:rsidR="00EF764E" w:rsidRPr="00EF764E">
        <w:rPr>
          <w:rFonts w:ascii="Arial" w:eastAsia="Times New Roman" w:hAnsi="Arial" w:cs="Arial"/>
          <w:color w:val="000000"/>
          <w:lang w:val="es-CO" w:eastAsia="es-CO"/>
        </w:rPr>
        <w:t>{IDENTIFICADO}</w:t>
      </w:r>
      <w:r w:rsidR="001D4FA0">
        <w:rPr>
          <w:rFonts w:ascii="Arial" w:eastAsia="Times New Roman" w:hAnsi="Arial" w:cs="Arial"/>
          <w:color w:val="000000"/>
          <w:lang w:val="es-CO" w:eastAsia="es-CO"/>
        </w:rPr>
        <w:t xml:space="preserve"> </w:t>
      </w:r>
      <w:r>
        <w:rPr>
          <w:rFonts w:ascii="Arial" w:eastAsia="Times New Roman" w:hAnsi="Arial" w:cs="Arial"/>
          <w:color w:val="000000"/>
          <w:lang w:val="es-CO" w:eastAsia="es-CO"/>
        </w:rPr>
        <w:t>con {GENERO_ID}</w:t>
      </w:r>
      <w:r w:rsidR="008F4F6D">
        <w:rPr>
          <w:rFonts w:ascii="Arial" w:eastAsia="Times New Roman" w:hAnsi="Arial" w:cs="Arial"/>
          <w:color w:val="000000"/>
          <w:lang w:val="es-CO" w:eastAsia="es-CO"/>
        </w:rPr>
        <w:t xml:space="preserve"> </w:t>
      </w:r>
      <w:r>
        <w:rPr>
          <w:rFonts w:ascii="Arial" w:eastAsia="Times New Roman" w:hAnsi="Arial" w:cs="Arial"/>
          <w:color w:val="000000"/>
          <w:lang w:val="es-CO" w:eastAsia="es-CO"/>
        </w:rPr>
        <w:t>{CEDULA}</w:t>
      </w:r>
      <w:r w:rsidR="000F0E49">
        <w:rPr>
          <w:rFonts w:ascii="Arial" w:eastAsia="Times New Roman" w:hAnsi="Arial" w:cs="Arial"/>
          <w:color w:val="000000"/>
          <w:lang w:val="es-CO" w:eastAsia="es-CO"/>
        </w:rPr>
        <w:t xml:space="preserve"> </w:t>
      </w:r>
      <w:r>
        <w:rPr>
          <w:rFonts w:ascii="Arial" w:eastAsia="Times New Roman" w:hAnsi="Arial" w:cs="Arial"/>
          <w:color w:val="000000"/>
          <w:lang w:val="es-CO" w:eastAsia="es-CO"/>
        </w:rPr>
        <w:t xml:space="preserve">expedida en {CIUDAD_EXP}, de estado civil {ESTADO_CIVIL}, con domicilio en la ciudad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DOMICILIO</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parte que se denominará {TITULO_COMPRADOR}. Las partes han celebrado el presente contrato de promesa de compraventa de conformidad con lo dispuesto en los artículos 1611, 1849 y siguientes del Código Civil y el artículo 905 del Código de Comercio, el cual se regirá por las siguientes cláusulas:</w:t>
      </w:r>
    </w:p>
    <w:p w14:paraId="78B22009"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PRIMERA: OBJETO</w:t>
      </w:r>
    </w:p>
    <w:p w14:paraId="40D1A71C" w14:textId="071BA375"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vender y transferir a favor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 título de compraventa, el </w:t>
      </w:r>
      <w:r>
        <w:rPr>
          <w:rFonts w:ascii="Arial" w:eastAsia="Times New Roman" w:hAnsi="Arial" w:cs="Arial"/>
          <w:b/>
          <w:bCs/>
          <w:color w:val="000000"/>
          <w:lang w:val="es-CO" w:eastAsia="es-CO"/>
        </w:rPr>
        <w:t>Lote de Terreno No. {LOTE_NUM}</w:t>
      </w:r>
      <w:r>
        <w:rPr>
          <w:rFonts w:ascii="Arial" w:eastAsia="Times New Roman" w:hAnsi="Arial" w:cs="Arial"/>
          <w:color w:val="000000"/>
          <w:lang w:val="es-CO" w:eastAsia="es-CO"/>
        </w:rPr>
        <w:t xml:space="preserve"> de la </w:t>
      </w:r>
      <w:r>
        <w:rPr>
          <w:rFonts w:ascii="Arial" w:eastAsia="Times New Roman" w:hAnsi="Arial" w:cs="Arial"/>
          <w:b/>
          <w:bCs/>
          <w:color w:val="000000"/>
          <w:lang w:val="es-CO" w:eastAsia="es-CO"/>
        </w:rPr>
        <w:t>Manzana {MANZANA}</w:t>
      </w:r>
      <w:r>
        <w:rPr>
          <w:rFonts w:ascii="Arial" w:eastAsia="Times New Roman" w:hAnsi="Arial" w:cs="Arial"/>
          <w:color w:val="000000"/>
          <w:lang w:val="es-CO" w:eastAsia="es-CO"/>
        </w:rPr>
        <w:t>, con un área aproximada de {AREA_TEXTO} ({AREA_M2} m²), el cual hace parte de un predio de mayor extensión distinguido con la Matrícula Inmobiliaria Número 420-133218 y ficha catastral Número 00-03-0003-0132-000, cuyos linderos específicos son: por el NORTE, en extensión de {NORTE_DIST} con {NORTE_DESC}; por el SUR, en extensión de {SUR_DIST} con {SUR_DESC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el 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y por el OESTE,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No obstante, la </w:t>
      </w:r>
      <w:proofErr w:type="spellStart"/>
      <w:r>
        <w:rPr>
          <w:rFonts w:ascii="Arial" w:eastAsia="Times New Roman" w:hAnsi="Arial" w:cs="Arial"/>
          <w:color w:val="000000"/>
          <w:lang w:val="es-CO" w:eastAsia="es-CO"/>
        </w:rPr>
        <w:t>alinderación</w:t>
      </w:r>
      <w:proofErr w:type="spellEnd"/>
      <w:r>
        <w:rPr>
          <w:rFonts w:ascii="Arial" w:eastAsia="Times New Roman" w:hAnsi="Arial" w:cs="Arial"/>
          <w:color w:val="000000"/>
          <w:lang w:val="es-CO" w:eastAsia="es-CO"/>
        </w:rPr>
        <w:t xml:space="preserve"> descrita, la venta se realiza como cuerpo cierto de conformidad con el artículo 1887 del Código Civil.</w:t>
      </w:r>
    </w:p>
    <w:p w14:paraId="630BB1D6" w14:textId="2CC02E79"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 Naturaleza del predio y proceso de subdivisión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El predio de mayor extensión del cual hace parte el lote objeto del presente contrato corresponde a una escritura global que se encuentra en proceso de urbanización bajo el Plan Parcial Las Mesitas. En cumplimiento de la normativa catastral y urbanística vigente, la individualización del lote mediante apertura de matrícula inmobiliaria propia y asignación de ficha catastral individual se realizará en el marco del proceso de subdivisión predial que adelantará LA PROMITENTE </w:t>
      </w:r>
      <w:r>
        <w:rPr>
          <w:rFonts w:ascii="Arial" w:eastAsia="Times New Roman" w:hAnsi="Arial" w:cs="Arial"/>
          <w:color w:val="000000"/>
          <w:lang w:val="es-CO" w:eastAsia="es-CO"/>
        </w:rPr>
        <w:lastRenderedPageBreak/>
        <w:t xml:space="preserve">VENDEDORA ante las autoridades competentes, como condición previa a la suscripción de la escritura pública individual de compraventa. Lo anterior es de conocimiento pleno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quien acepta expresamente esta circunstancia y las condiciones de plazo pactadas en la Cláusula Tercera.</w:t>
      </w:r>
    </w:p>
    <w:p w14:paraId="41028F2E"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SEGUNDA: PRECIO Y FORMA DE PAGO</w:t>
      </w:r>
    </w:p>
    <w:p w14:paraId="644D0E26" w14:textId="3C87AA2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precio de la venta prometida es de </w:t>
      </w:r>
      <w:r w:rsidR="000F0E49" w:rsidRPr="00FE1B15">
        <w:rPr>
          <w:rFonts w:ascii="Arial" w:eastAsia="Times New Roman" w:hAnsi="Arial" w:cs="Arial"/>
          <w:color w:val="000000"/>
          <w:lang w:val="es-CO" w:eastAsia="es-CO"/>
        </w:rPr>
        <w:t>{</w:t>
      </w:r>
      <w:r w:rsidRPr="00FE1B15">
        <w:rPr>
          <w:rFonts w:ascii="Arial" w:eastAsia="Times New Roman" w:hAnsi="Arial" w:cs="Arial"/>
          <w:color w:val="000000"/>
          <w:lang w:val="es-CO" w:eastAsia="es-CO"/>
        </w:rPr>
        <w:t>PRECIO_TEXTO</w:t>
      </w:r>
      <w:r w:rsidR="000F0E49" w:rsidRPr="00FE1B15">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color w:val="000000"/>
          <w:lang w:val="es-CO" w:eastAsia="es-CO"/>
        </w:rPr>
        <w:t>(</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PRECIO_NUM</w:t>
      </w:r>
      <w:r w:rsidR="000F0E49" w:rsidRPr="00FE1B15">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pagará a LA PROMITENTE VENDEDORA así:  </w:t>
      </w:r>
    </w:p>
    <w:p w14:paraId="553B8DF9" w14:textId="3391613D" w:rsidR="00563A95" w:rsidRPr="00A92BBA" w:rsidRDefault="00581297"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lang w:val="es-CO" w:eastAsia="es-CO"/>
        </w:rPr>
        <w:t xml:space="preserve">De contado </w:t>
      </w:r>
      <w:r w:rsidR="000F0E49" w:rsidRPr="00EA0A83">
        <w:rPr>
          <w:rFonts w:ascii="Arial" w:eastAsia="Times New Roman" w:hAnsi="Arial" w:cs="Arial"/>
          <w:i/>
          <w:iCs/>
          <w:color w:val="000000"/>
          <w:u w:val="single"/>
          <w:lang w:val="es-CO" w:eastAsia="es-CO"/>
        </w:rPr>
        <w:t>{</w:t>
      </w:r>
      <w:r w:rsidRPr="00EA0A83">
        <w:rPr>
          <w:rFonts w:ascii="Arial" w:eastAsia="Times New Roman" w:hAnsi="Arial" w:cs="Arial"/>
          <w:i/>
          <w:iCs/>
          <w:color w:val="000000"/>
          <w:u w:val="single"/>
          <w:lang w:val="es-CO" w:eastAsia="es-CO"/>
        </w:rPr>
        <w:t>PAGO_TIPO</w:t>
      </w:r>
      <w:r w:rsidR="000F0E49" w:rsidRPr="00EA0A83">
        <w:rPr>
          <w:rFonts w:ascii="Arial" w:eastAsia="Times New Roman" w:hAnsi="Arial" w:cs="Arial"/>
          <w:i/>
          <w:iCs/>
          <w:color w:val="000000"/>
          <w:u w:val="single"/>
          <w:lang w:val="es-CO" w:eastAsia="es-CO"/>
        </w:rPr>
        <w:t>}</w:t>
      </w:r>
      <w:r>
        <w:rPr>
          <w:rFonts w:ascii="Arial" w:eastAsia="Times New Roman" w:hAnsi="Arial" w:cs="Arial"/>
          <w:color w:val="000000"/>
          <w:lang w:val="es-CO" w:eastAsia="es-CO"/>
        </w:rPr>
        <w:t xml:space="preserve"> / </w:t>
      </w:r>
      <w:r>
        <w:rPr>
          <w:rFonts w:ascii="Arial" w:eastAsia="Times New Roman" w:hAnsi="Arial" w:cs="Arial"/>
          <w:b/>
          <w:bCs/>
          <w:i/>
          <w:iCs/>
          <w:color w:val="000000"/>
          <w:lang w:val="es-CO" w:eastAsia="es-CO"/>
        </w:rPr>
        <w:t xml:space="preserve">Financiado </w:t>
      </w:r>
      <w:r w:rsidR="000F0E49" w:rsidRPr="00EA0A83">
        <w:rPr>
          <w:rFonts w:ascii="Arial" w:eastAsia="Times New Roman" w:hAnsi="Arial" w:cs="Arial"/>
          <w:i/>
          <w:iCs/>
          <w:color w:val="000000"/>
          <w:u w:val="single"/>
          <w:lang w:val="es-CO" w:eastAsia="es-CO"/>
        </w:rPr>
        <w:t>{</w:t>
      </w:r>
      <w:r w:rsidRPr="00EA0A83">
        <w:rPr>
          <w:rFonts w:ascii="Arial" w:eastAsia="Times New Roman" w:hAnsi="Arial" w:cs="Arial"/>
          <w:i/>
          <w:iCs/>
          <w:color w:val="000000"/>
          <w:u w:val="single"/>
          <w:lang w:val="es-CO" w:eastAsia="es-CO"/>
        </w:rPr>
        <w:t>PAGO_TIPO_FIN</w:t>
      </w:r>
      <w:r w:rsidR="000F0E49" w:rsidRPr="00EA0A83">
        <w:rPr>
          <w:rFonts w:ascii="Arial" w:eastAsia="Times New Roman" w:hAnsi="Arial" w:cs="Arial"/>
          <w:i/>
          <w:iCs/>
          <w:color w:val="000000"/>
          <w:u w:val="single"/>
          <w:lang w:val="es-CO" w:eastAsia="es-CO"/>
        </w:rPr>
        <w:t>}</w:t>
      </w:r>
      <w:r w:rsidR="00EA0A83" w:rsidRPr="00EA0A83">
        <w:rPr>
          <w:rFonts w:ascii="Arial" w:eastAsia="Times New Roman" w:hAnsi="Arial" w:cs="Arial"/>
          <w:i/>
          <w:iCs/>
          <w:color w:val="000000"/>
          <w:u w:val="single"/>
          <w:lang w:val="es-CO" w:eastAsia="es-CO"/>
        </w:rPr>
        <w:t>,</w:t>
      </w:r>
      <w:r>
        <w:rPr>
          <w:rFonts w:ascii="Arial" w:eastAsia="Times New Roman" w:hAnsi="Arial" w:cs="Arial"/>
          <w:color w:val="000000"/>
          <w:lang w:val="es-CO" w:eastAsia="es-CO"/>
        </w:rPr>
        <w:t xml:space="preserve"> así:</w:t>
      </w:r>
    </w:p>
    <w:p w14:paraId="002D472B" w14:textId="3B98303A" w:rsidR="00563A95" w:rsidRPr="00A92BBA"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Una cuota inicial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CUOTA_INICIAL_T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CUOTA_INICIAL_N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que se recibirá al momento de la firma del presente contrato, valor que LA PROMITENTE VENDEDORA declara recibir a entera satisfacción.</w:t>
      </w:r>
    </w:p>
    <w:p w14:paraId="7A9881C4" w14:textId="341C4186" w:rsidR="00563A95"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saldo restante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SALDO_T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SALDO_N</w:t>
      </w:r>
      <w:r w:rsidR="000F0E49" w:rsidRPr="00FE1B15">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pagadero en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NUM_CUOTAS</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cuotas mensuales iguales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VALOR_CUOTA_T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VALOR_CUOTA_N</w:t>
      </w:r>
      <w:r w:rsidR="000F0E49" w:rsidRPr="00FE1B15">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cada una, pagaderas a partir del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FECHA_INICIO_P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2180C6EA" w14:textId="77777777" w:rsidR="00A92BBA" w:rsidRPr="00A92BBA" w:rsidRDefault="00A92BBA" w:rsidP="00A92BBA">
      <w:pPr>
        <w:pStyle w:val="Prrafodelista"/>
        <w:ind w:left="0" w:right="-234"/>
        <w:jc w:val="both"/>
        <w:rPr>
          <w:rFonts w:ascii="Arial" w:eastAsia="Times New Roman" w:hAnsi="Arial" w:cs="Arial"/>
          <w:color w:val="000000"/>
          <w:lang w:val="es-CO" w:eastAsia="es-CO"/>
        </w:rPr>
      </w:pPr>
    </w:p>
    <w:p w14:paraId="3E9ED7BC" w14:textId="77777777" w:rsidR="00665CAF" w:rsidRPr="00665CAF" w:rsidRDefault="00563A95" w:rsidP="00665CAF">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TERCERA: PLAZO Y CONDICIONES PARA LA ESCRITURACIÓN</w:t>
      </w:r>
    </w:p>
    <w:p w14:paraId="6EC72E19" w14:textId="5C42763D"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que la suscripción de la escritura pública individual de compraventa en la Notaría Segunda del Círculo de Florencia se realizará una vez se cumplan concurrentemente las siguientes condiciones: (1)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en la Cláusula Segunda; (2) que el proyecto urbanístico ARAGUATOS cuente con las redes de servicios públicos de acueducto, alcantarillado y energía debidamente construidas y habilitadas para la prestación del servicio; y (3)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estar a paz y salvo por concepto de impuesto predial unificado y demás contribuciones municipales que le hayan correspondido sobre el lote a partir de la asignación de su ficha catastral individual, conforme a lo dispuesto en la Cláusula Sexta.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impedirá la escrituración y no constituirá incumplimiento imputable a LA PROMITENTE VENDEDORA, ni dará lugar a la aplicación de cláusula penal en su contra.</w:t>
      </w:r>
    </w:p>
    <w:p w14:paraId="18A174AE"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18A174AA"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PARÁGRAFO: LA PROMITENTE VENDEDORA se obliga a adelantar, gestionar y ejecutar las obras de urbanismo correspondientes al proyecto ARAGUATOS, así como los trámites de </w:t>
      </w:r>
      <w:r>
        <w:rPr>
          <w:rFonts w:ascii="Arial" w:eastAsia="Times New Roman" w:hAnsi="Arial" w:cs="Arial"/>
          <w:color w:val="000000"/>
          <w:lang w:val="es-CO" w:eastAsia="es-CO"/>
        </w:rPr>
        <w:lastRenderedPageBreak/>
        <w:t>subdivisión predial, individualización catastral y demás gestiones ante las autoridades competentes, dentro de un plazo máximo de cinco (5) años contados a partir de la suscripción del presente contrato. Este plazo se establece como término estimado para la consolidación urbanística del proyecto y habilitación plena para la escrituración individual de los lotes; sin perjuicio de prórrogas por causas ajenas a la voluntad de LA PROMITENTE VENDEDORA, tales como trámites administrativos, licencias, fuerza mayor o caso fortuito.</w:t>
      </w:r>
    </w:p>
    <w:p w14:paraId="18A174AB"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4BC8D9C5" w14:textId="42089701"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CUARTA: PRÓRROGAS Y MODIFICACIONES DEL PLAZO</w:t>
      </w:r>
    </w:p>
    <w:p w14:paraId="7357366D" w14:textId="77777777"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El término para el cumplimiento de las obligaciones derivadas del presente contrato solo podrá ser prorrogado mediante acuerdo mutuo, expreso y escrito de las partes, formalizado a través de un Otrosí o cláusula adicional suscrita por ambos prometientes, con una antelación no inferior a dos (2) días hábiles a la fecha inicialmente pactada para la firma de la escritura.</w:t>
      </w:r>
    </w:p>
    <w:p w14:paraId="73CFE7F5" w14:textId="47B723AE"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En ausencia del documento escrito y debidamente suscrito, se entenderá que no existe prórroga alguna, y el incumplimiento de la fecha señalada dará lugar a la aplicación de la cláusula penal y a las acciones legales de resolución de contrato contempladas en los artículos 1546 y 1602 del Código Civil.</w:t>
      </w:r>
    </w:p>
    <w:p w14:paraId="0A02A5A8"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QUINTA: GASTOS DE ESCRITURACIÓN</w:t>
      </w:r>
    </w:p>
    <w:p w14:paraId="09098D9A" w14:textId="70250B9D" w:rsidR="00A92BBA" w:rsidRPr="00A92BBA" w:rsidRDefault="00665CAF"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Los gastos que se ocasionen con motivo de la suscripción de la escritura pública de compraventa se distribuirán así: Los derechos notariales, si el precio total fue cancelado de contado conforme a la Cláusula Segunda, serán asumidos en partes iguales entre las partes; si el precio fue cancelado mediante financiación, la totalidad de los derechos notariales será asumida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Los demás impuestos y cargas derivados de la transferencia y registro del inmueble a nombre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serán asumidos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02DBF055" w14:textId="6D7DC87E"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SEXTA: OBLIGACIONES TRIBUTARIAS MUNICIPALES Y CATASTRALES</w:t>
      </w:r>
    </w:p>
    <w:p w14:paraId="5B2C8433" w14:textId="7BAB65B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expresamente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a su cargo el pago de la totalidad de los impuestos municipales que recaigan sobre el lote objeto del presente contrato (en particular el impuesto predial unificado y las contribuciones de valorización que se generen) a partir de la fecha en que se le asigne ficha catastral individual al lote, con independencia de que la escrituración se haya perfeccionado o no en dicho momento.</w:t>
      </w:r>
    </w:p>
    <w:p w14:paraId="69111225" w14:textId="1711334A"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lastRenderedPageBreak/>
        <w:t>PARÁGRAFO PRIMERO</w:t>
      </w:r>
      <w:r>
        <w:rPr>
          <w:rFonts w:ascii="Arial" w:eastAsia="Times New Roman" w:hAnsi="Arial" w:cs="Arial"/>
          <w:color w:val="000000"/>
          <w:sz w:val="20"/>
          <w:szCs w:val="20"/>
          <w:lang w:val="es-CO" w:eastAsia="es-CO"/>
        </w:rPr>
        <w:t xml:space="preserve"> </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b/>
          <w:bCs/>
          <w:i/>
          <w:iCs/>
          <w:color w:val="000000"/>
          <w:sz w:val="20"/>
          <w:szCs w:val="20"/>
          <w:lang w:val="es-CO" w:eastAsia="es-CO"/>
        </w:rPr>
        <w:t>Proceso de formación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razón de que el predio de mayor extensión proviene de una escritura global y se encuentra en proceso de urbanización bajo el Plan Parcial Las Mesitas, la asignación de ficha catastral individual a cada lote se producirá como resultado del trámite de subdivisión predial que adelantará LA PROMITENTE VENDEDORA ante el IGAC o la entidad catastral delegada. Desde el momento en que al lote objeto de este contrato le sea asignada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como propia la carga tributaria municipal que recaiga sobre dicho lote, con independencia de la fecha en que se suscriba la escritura pública. LA PROMITENTE VENDEDORA notificará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escrito dentro de los diez (10) días hábiles siguientes a la asignación de la ficha catastral.</w:t>
      </w:r>
    </w:p>
    <w:p w14:paraId="4EF20024" w14:textId="5880F578"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SEGUNDO – Reembolso del predial pagado por LA PROMITENTE VENDEDORA:</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el evento en que, por razones del proceso de facturación municipal, el impuesto predial del lote sea liquidado inicialmente a nombre de LA PROMITENTE VENDEDORA con posterioridad a la asignación de la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reembolsar a LA PROMITENTE VENDEDORA el valor proporcional que corresponda al lote objeto de este contrato, dentro de los treinta (30) días calendario siguientes al requerimiento escrito acompañado del recibo de pago respectivo. El incumplimiento de esta obligación de reembolso generará los mismos intereses de mora previstos en la Cláusula Séptima del presente contrato.</w:t>
      </w:r>
    </w:p>
    <w:p w14:paraId="3611AAFB" w14:textId="442979B4"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TERCERO – Paz y salvo tributario como requisito para la escrituración:</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La suscripción de la escritura pública de compraventa individual estará condicionada, además de los requisitos previstos en la Cláusula Tercera, a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(paz y salvo municipal o certificado de no deudor) estar al día en el pago de todos los impuestos prediales y contribuciones de valorización que le hayan correspondido sobre el lote a partir de la asignación de la ficha catastral individual.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sobre el lote impedirá la escrituración y no constituirá incumplimiento imputable a LA PROMITENTE VENDEDORA, ni dará lugar a la aplicación de la cláusula penal en su contra.</w:t>
      </w:r>
    </w:p>
    <w:p w14:paraId="3D65789A" w14:textId="4D0082E1" w:rsidR="00D70DAF"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CUARTO – Período anterior a la ficha catastral individual</w:t>
      </w:r>
      <w:r>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Antes de la asignación de ficha catastral individual al lote, el impuesto predial del predio global continuará siendo responsabilidad exclusiva de LA PROMITENTE VENDEDORA,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tenga obligación de contribuir a su pago durante dicho período.</w:t>
      </w:r>
    </w:p>
    <w:p w14:paraId="6241A5A1" w14:textId="3F0066DB"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 xml:space="preserve">SÉPTIMA: CLÁUSULA PENAL POR INCUMPLIMIENTO </w:t>
      </w:r>
    </w:p>
    <w:p w14:paraId="68CF69FB" w14:textId="38F0B30F" w:rsidR="00D70D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Las sumas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durante la vigencia del presente contrato tendrán naturaleza de arras penitenciales conforme al artículo 1859 del Código Civil y constituyen estimación anticipada de perjuicios conforme al artículo 1592 ibidem. Las consecuencias económicas se regularán de manera diferenciada según el evento que origine la terminación:</w:t>
      </w:r>
    </w:p>
    <w:p w14:paraId="2F78400A" w14:textId="20C16756"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A. RETRACTO VOLUNTARIO DE </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TITULO_COMPRADOR</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w:t>
      </w:r>
    </w:p>
    <w:p w14:paraId="333D79DA" w14:textId="4C13FDC7"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retracto voluntario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notifique por escrito su decisión de no continuar con el contrato, encontrándose al día en la totalidad de sus obligaciones de pago a la fecha de dicha comunicación. En este caso, LA PROMITENTE VENDEDORA retendrá el veinte por ciento (20%) del total de las sumas efectivamente pagadas hasta la fecha del retracto, a título de arras penitenciales y cláusula penal compensatoria, y devolverá el ochenta por ciento (80%) restante dentro de los noventa (90) días calendario siguientes, una vez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estar al día en sus obligaciones tributarias conforme a la Cláusula Sexta.</w:t>
      </w:r>
    </w:p>
    <w:p w14:paraId="58787F34" w14:textId="12D0E5C8"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B. INCUMPLIMIENTO DE </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TITULO_COMPRADOR</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w:t>
      </w:r>
    </w:p>
    <w:p w14:paraId="7363A046" w14:textId="5F3B710C" w:rsidR="00D70DAF" w:rsidRDefault="00D70D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incumplimiento cuando: (i)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deje de pagar tres (3) cuotas mensuales consecutivas; o (</w:t>
      </w:r>
      <w:proofErr w:type="spellStart"/>
      <w:r>
        <w:rPr>
          <w:rFonts w:ascii="Arial" w:eastAsia="Times New Roman" w:hAnsi="Arial" w:cs="Arial"/>
          <w:color w:val="000000"/>
          <w:lang w:val="es-CO" w:eastAsia="es-CO"/>
        </w:rPr>
        <w:t>ii</w:t>
      </w:r>
      <w:proofErr w:type="spellEnd"/>
      <w:r>
        <w:rPr>
          <w:rFonts w:ascii="Arial" w:eastAsia="Times New Roman" w:hAnsi="Arial" w:cs="Arial"/>
          <w:color w:val="000000"/>
          <w:lang w:val="es-CO" w:eastAsia="es-CO"/>
        </w:rPr>
        <w:t xml:space="preserve">) notifique su intención de no continuar con el contrato encontrándose en mora en una o más cuotas a la fecha de dicha comunicación. En cualquiera de estos eventos, quien incumple no podrá acogerse al régimen de retracto voluntario previsto en el literal A, independientemente de la denominación que le dé a su comunicación. Declarado el incumplimiento, LA PROMITENTE VENDEDORA quedará facultada para dar por terminado unilateralmente el presente contrato sin necesidad de requerimiento judicial, en ejercicio del pacto comisorio aquí consignado conforme a los artículos 1546 y 1592 del Código Civil. La totalidad de las sumas efectivamente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hasta la fecha de terminación quedarán en poder de LA PROMITENTE VENDEDORA a título de arras penitenciales y cláusula penal compensatoria, como retribución por el costo de oportunidad del lote, los gastos administrativos y comerciales incurridos y el lucro cesante generado durante el período en que el lote estuvo fuera del mercado, sin que haya lugar a devolución alguna. Las partes declaran que esta consecuencia fue libremente acordada y constituye una estimación razonable y anticipada de dichos perjuicios, conforme al artículo 1592 del Código Civil. Declarada la terminación, LA PROMITENTE VENDEDORA retomará la posesión inmediata del terreno y podrá disponer libremente de él,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pueda reclamar compensación por mejoras no necesarias.</w:t>
      </w:r>
    </w:p>
    <w:p w14:paraId="3B741A42" w14:textId="15BE5F33"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El incumplimiento en el pago de cuotas, transcurridos cinco (5) días calendario desde su vencimiento, generará adicionalmente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intereses de mora al máximo legal vigente certificado por la Superintendencia Financiera de Colombia, liquidados sobre el valor de la cuota en mora por cada día de retardo, sin perjuicio de la obligación principal.</w:t>
      </w:r>
    </w:p>
    <w:p w14:paraId="14DB43C5" w14:textId="77777777"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C. INCUMPLIMIENTO O RETRACTO DE LA PROMITENTE VENDEDORA.</w:t>
      </w:r>
    </w:p>
    <w:p w14:paraId="3C561D51" w14:textId="7FEDF196"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En caso de que LA PROMITENTE VENDEDORA se retracte o incumpla las obligaciones a su cargo que impidan la escrituración en los términos pactados, estará obligada a restituir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la totalidad de las sumas recibidas dentro de los noventa (90) días calendario siguientes al requerimiento escrito, sin perjuicio de la acción de cumplimiento forzado que pueda ejercer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conforme a los artículos 1546 y 1610 del Código Civil.</w:t>
      </w:r>
    </w:p>
    <w:p w14:paraId="1121A6D6" w14:textId="4FE27338" w:rsidR="00A92BBA" w:rsidRPr="00A92BBA" w:rsidRDefault="00563A95"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entregar el inmueble libre de limitaciones al dominio, gravámenes, condiciones resolutorias, pleitos pendientes o embargos hasta la fecha de la firma de la escritura pública. La entrega material y física del lote se realizará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el proyecto cuente con disponibilidad efectiva de los servicios públicos de acueducto, alcantarillado y energía, así como con los respectivos diseños urbanísticos, y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aportado el soporte de pago del impuesto predial unificado y demás impuestos municipales a su cargo, conforme a lo dispuesto en la Cláusula Sexta del presente contrato. A partir de la entrega,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respetar los lineamientos arquitectónicos y de fachada definidos en el Reglamento de Construcción del Proyecto Araguatos. Este acuerdo constituye ley para las partes conforme al artículo 1602 del Código Civil, y su incumplimiento se regirá por el artículo 1546 ibidem.</w:t>
      </w:r>
    </w:p>
    <w:p w14:paraId="22845377" w14:textId="332162E4"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OCTAVA: CLÁUSULA COMPROMISORIA</w:t>
      </w:r>
    </w:p>
    <w:p w14:paraId="4CE2CF5A" w14:textId="2F047C6A" w:rsidR="00D70DAF"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Toda controversia o diferencia relativa a este contrato, su ejecución y liquidación, se resolverá por un Tribunal de Arbitramento designado por la Junta Directiva de la Cámara de Comercio de Florencia, mediante sorteo entre los árbitros inscritos en el Centro de Arbitraje y Conciliación Mercantil de dicha Cámara. El Tribunal se integrará por tres (3) árbitros, decidirá en derecho o en principios técnicos según corresponda conforme a la Ley 1563 de 2012 y demás normas concordantes, funcionando bajo las reglas del citado Centro. Una vez liquidado el contrato y recibida real y materialmente la unidad inmobiliaria, se entenderá por cumplido el objeto del presente instrumento.</w:t>
      </w:r>
    </w:p>
    <w:p w14:paraId="37089401" w14:textId="362B56D2"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lastRenderedPageBreak/>
        <w:t>NOVENA: NOTIFICACIONES Y DOMICILIO CONTRACTUAL</w:t>
      </w:r>
    </w:p>
    <w:p w14:paraId="5F22AB1A" w14:textId="17B770CF"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Para todos los efectos legales derivados del presente contrato, las partes señalan como domicilio contractual la ciudad de Florencia, Caquetá. Cualquier comunicación se realizará a las direcciones físicas y correos electrónicos aquí consignados, aceptando el mensaje de datos como medio oficial y vinculante según la Ley 527 de 1999. LA PROMITENTE VENDEDORA recibirá notificaciones en la CRA 2 E # 15 A-12, Barrio Abbas Turbay, Florencia (Caquetá), correo electrónico ing3dreco@gmail.com, teléfono 3227590147.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recibirá notificaciones en la dirección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DIRECCION_COMP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correo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CORREO_COMP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teléfono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TELEFONO_COMP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Es obligación de cada parte informar cualquier cambio de datos por escrito con cinco (5) días de antelación; de lo contrario, las notificaciones enviadas a las direcciones aquí pactadas se entenderán válidamente surtidas de conformidad con el artículo 1602 del Código Civil.</w:t>
      </w:r>
    </w:p>
    <w:p w14:paraId="6C593CCB" w14:textId="00E04B71" w:rsidR="00892605"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manifiestan haber leído y entendido la totalidad de las cláusulas del presente contrato de promesa de compraventa, aceptando su contenido en su integridad y obligándose a su estricto cumplimiento conforme a la ley. Para constancia de lo anterior y como prueba de su libre voluntad, se firma en la ciudad de Florencia (Caquetá), 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FECHA_FIRMA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en dos (2) ejemplares del mismo tenor y valor, uno para cada parte, procediendo al reconocimiento de firmas y contenido ante autoridad notarial.</w:t>
      </w:r>
    </w:p>
    <w:p w14:paraId="37BAE87F" w14:textId="77777777" w:rsidR="00202DFD" w:rsidRPr="00A92BBA" w:rsidRDefault="00202DFD" w:rsidP="00A92BBA">
      <w:pPr>
        <w:ind w:right="-234"/>
        <w:jc w:val="both"/>
        <w:rPr>
          <w:rFonts w:ascii="Arial" w:eastAsia="Times New Roman" w:hAnsi="Arial" w:cs="Arial"/>
          <w:color w:val="000000"/>
          <w:lang w:val="es-CO" w:eastAsia="es-CO"/>
        </w:rPr>
      </w:pPr>
    </w:p>
    <w:tbl>
      <w:tblPr>
        <w:tblStyle w:val="Tablaconcuadrcula"/>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245"/>
      </w:tblGrid>
      <w:tr w:rsidR="001417D4" w:rsidRPr="00A92BBA" w14:paraId="7D048E71" w14:textId="77777777" w:rsidTr="003E2682">
        <w:trPr>
          <w:trHeight w:val="70"/>
          <w:jc w:val="center"/>
        </w:trPr>
        <w:tc>
          <w:tcPr>
            <w:tcW w:w="4673" w:type="dxa"/>
            <w:vAlign w:val="center"/>
          </w:tcPr>
          <w:p w14:paraId="394BD97B" w14:textId="3FA652ED" w:rsidR="001417D4" w:rsidRPr="00A92BBA" w:rsidRDefault="001417D4"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LA PROMITENTE VENDEDORA</w:t>
            </w:r>
          </w:p>
        </w:tc>
        <w:tc>
          <w:tcPr>
            <w:tcW w:w="5245" w:type="dxa"/>
            <w:vAlign w:val="center"/>
          </w:tcPr>
          <w:p w14:paraId="2DE31E0C" w14:textId="4E2ADB09" w:rsidR="001417D4" w:rsidRPr="00A92BBA" w:rsidRDefault="000F0E49"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w:t>
            </w:r>
            <w:r w:rsidR="001417D4">
              <w:rPr>
                <w:rFonts w:ascii="Arial" w:eastAsia="Times New Roman" w:hAnsi="Arial" w:cs="Arial"/>
                <w:b/>
                <w:bCs/>
                <w:color w:val="000000"/>
                <w:lang w:val="es-CO" w:eastAsia="es-CO"/>
              </w:rPr>
              <w:t>TITULO_COMPRADOR</w:t>
            </w:r>
            <w:r>
              <w:rPr>
                <w:rFonts w:ascii="Arial" w:eastAsia="Times New Roman" w:hAnsi="Arial" w:cs="Arial"/>
                <w:b/>
                <w:bCs/>
                <w:color w:val="000000"/>
                <w:lang w:val="es-CO" w:eastAsia="es-CO"/>
              </w:rPr>
              <w:t>}</w:t>
            </w:r>
          </w:p>
        </w:tc>
      </w:tr>
      <w:tr w:rsidR="001417D4" w:rsidRPr="00A92BBA" w14:paraId="29C636AE" w14:textId="77777777" w:rsidTr="003E2682">
        <w:trPr>
          <w:trHeight w:val="2167"/>
          <w:jc w:val="center"/>
        </w:trPr>
        <w:tc>
          <w:tcPr>
            <w:tcW w:w="4673" w:type="dxa"/>
            <w:vAlign w:val="center"/>
          </w:tcPr>
          <w:p w14:paraId="1F53AF49" w14:textId="5F451BF5" w:rsidR="00457B2F" w:rsidRPr="00A92BBA" w:rsidRDefault="00457B2F" w:rsidP="00A92BBA">
            <w:pPr>
              <w:ind w:right="-234"/>
              <w:rPr>
                <w:rFonts w:ascii="Arial" w:eastAsia="Times New Roman" w:hAnsi="Arial" w:cs="Arial"/>
                <w:color w:val="000000"/>
                <w:lang w:val="es-CO" w:eastAsia="es-CO"/>
              </w:rPr>
            </w:pPr>
          </w:p>
          <w:p w14:paraId="794E6E27" w14:textId="77777777" w:rsidR="003E2682" w:rsidRPr="00A92BBA" w:rsidRDefault="003E2682" w:rsidP="00A92BBA">
            <w:pPr>
              <w:ind w:right="-234"/>
              <w:rPr>
                <w:rFonts w:ascii="Arial" w:eastAsia="Times New Roman" w:hAnsi="Arial" w:cs="Arial"/>
                <w:color w:val="000000"/>
                <w:lang w:val="es-CO" w:eastAsia="es-CO"/>
              </w:rPr>
            </w:pPr>
          </w:p>
          <w:p w14:paraId="11CC1493" w14:textId="6D089ABE" w:rsidR="00457B2F" w:rsidRPr="00A92BBA" w:rsidRDefault="00457B2F" w:rsidP="00A92BBA">
            <w:pPr>
              <w:ind w:right="-234"/>
              <w:jc w:val="center"/>
              <w:rPr>
                <w:rFonts w:ascii="Arial" w:eastAsia="Times New Roman" w:hAnsi="Arial" w:cs="Arial"/>
                <w:color w:val="000000"/>
                <w:lang w:val="es-CO" w:eastAsia="es-CO"/>
              </w:rPr>
            </w:pPr>
          </w:p>
          <w:p w14:paraId="7E2556C4" w14:textId="77777777" w:rsidR="003E2682" w:rsidRPr="00A92BBA" w:rsidRDefault="003E2682" w:rsidP="00A92BBA">
            <w:pPr>
              <w:ind w:right="-234"/>
              <w:jc w:val="center"/>
              <w:rPr>
                <w:rFonts w:ascii="Arial" w:eastAsia="Times New Roman" w:hAnsi="Arial" w:cs="Arial"/>
                <w:color w:val="000000"/>
                <w:lang w:val="es-CO" w:eastAsia="es-CO"/>
              </w:rPr>
            </w:pPr>
          </w:p>
          <w:p w14:paraId="79415DCB" w14:textId="6318987D" w:rsidR="001417D4" w:rsidRPr="00A92BBA" w:rsidRDefault="00092AE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ANDREA LIZETH CABRERA SUESCUN</w:t>
            </w:r>
          </w:p>
          <w:p w14:paraId="5AAA1CA2" w14:textId="6F9F9346" w:rsidR="00244284" w:rsidRPr="00A92BBA" w:rsidRDefault="0024428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CC.1.127.388.759</w:t>
            </w:r>
          </w:p>
          <w:p w14:paraId="08CA3291" w14:textId="14BCC195" w:rsidR="001417D4" w:rsidRPr="00A92BBA" w:rsidRDefault="001417D4" w:rsidP="00A92BBA">
            <w:pPr>
              <w:ind w:right="-234"/>
              <w:jc w:val="center"/>
              <w:rPr>
                <w:rFonts w:ascii="Arial" w:eastAsia="Times New Roman" w:hAnsi="Arial" w:cs="Arial"/>
                <w:i/>
                <w:iCs/>
                <w:color w:val="000000"/>
                <w:lang w:val="es-CO" w:eastAsia="es-CO"/>
              </w:rPr>
            </w:pPr>
            <w:r>
              <w:rPr>
                <w:rFonts w:ascii="Arial" w:eastAsia="Times New Roman" w:hAnsi="Arial" w:cs="Arial"/>
                <w:i/>
                <w:iCs/>
                <w:color w:val="000000"/>
                <w:lang w:val="es-CO" w:eastAsia="es-CO"/>
              </w:rPr>
              <w:t>ING3DRECO SAS</w:t>
            </w:r>
          </w:p>
          <w:p w14:paraId="32D98E52" w14:textId="285B2415" w:rsidR="001417D4" w:rsidRPr="00A92BBA" w:rsidRDefault="001417D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Cel.3227590147</w:t>
            </w:r>
          </w:p>
        </w:tc>
        <w:tc>
          <w:tcPr>
            <w:tcW w:w="5245" w:type="dxa"/>
            <w:vAlign w:val="center"/>
          </w:tcPr>
          <w:p w14:paraId="46A881A9" w14:textId="0BCA2EBB" w:rsidR="00457B2F" w:rsidRPr="00A92BBA" w:rsidRDefault="00457B2F" w:rsidP="00A92BBA">
            <w:pPr>
              <w:ind w:right="-234"/>
              <w:rPr>
                <w:rFonts w:ascii="Arial" w:eastAsia="Times New Roman" w:hAnsi="Arial" w:cs="Arial"/>
                <w:color w:val="000000"/>
                <w:lang w:val="es-CO" w:eastAsia="es-CO"/>
              </w:rPr>
            </w:pPr>
          </w:p>
          <w:p w14:paraId="666F84C3" w14:textId="50E4BA70" w:rsidR="003E2682" w:rsidRPr="00A92BBA" w:rsidRDefault="003E2682" w:rsidP="00A92BBA">
            <w:pPr>
              <w:ind w:right="-234"/>
              <w:rPr>
                <w:rFonts w:ascii="Arial" w:eastAsia="Times New Roman" w:hAnsi="Arial" w:cs="Arial"/>
                <w:color w:val="000000"/>
                <w:lang w:val="es-CO" w:eastAsia="es-CO"/>
              </w:rPr>
            </w:pPr>
          </w:p>
          <w:p w14:paraId="71D146A8" w14:textId="77777777" w:rsidR="003E2682" w:rsidRPr="00A92BBA" w:rsidRDefault="003E2682" w:rsidP="00A92BBA">
            <w:pPr>
              <w:ind w:right="-234"/>
              <w:rPr>
                <w:rFonts w:ascii="Arial" w:eastAsia="Times New Roman" w:hAnsi="Arial" w:cs="Arial"/>
                <w:color w:val="000000"/>
                <w:lang w:val="es-CO" w:eastAsia="es-CO"/>
              </w:rPr>
            </w:pPr>
          </w:p>
          <w:p w14:paraId="5D890E40" w14:textId="1BDF1C70" w:rsidR="00244284" w:rsidRPr="00A92BBA" w:rsidRDefault="000F0E49"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w:t>
            </w:r>
            <w:r w:rsidR="00244284">
              <w:rPr>
                <w:rFonts w:ascii="Arial" w:eastAsia="Times New Roman" w:hAnsi="Arial" w:cs="Arial"/>
                <w:color w:val="000000"/>
                <w:lang w:val="es-CO" w:eastAsia="es-CO"/>
              </w:rPr>
              <w:t>NOMBRE_COMPLETO</w:t>
            </w:r>
            <w:r>
              <w:rPr>
                <w:rFonts w:ascii="Arial" w:eastAsia="Times New Roman" w:hAnsi="Arial" w:cs="Arial"/>
                <w:color w:val="000000"/>
                <w:lang w:val="es-CO" w:eastAsia="es-CO"/>
              </w:rPr>
              <w:t>}</w:t>
            </w:r>
          </w:p>
          <w:p w14:paraId="476CF15D" w14:textId="48CA4DE4"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C.C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CC_COMPRADOR</w:t>
            </w:r>
            <w:r w:rsidR="000F0E49">
              <w:rPr>
                <w:rFonts w:ascii="Arial" w:eastAsia="Times New Roman" w:hAnsi="Arial" w:cs="Arial"/>
                <w:color w:val="000000"/>
                <w:lang w:val="es-CO" w:eastAsia="es-CO"/>
              </w:rPr>
              <w:t>}</w:t>
            </w:r>
          </w:p>
          <w:p w14:paraId="5F35B0A3" w14:textId="6988460B"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Cel.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CEL_COMPRADOR</w:t>
            </w:r>
            <w:r w:rsidR="000F0E49">
              <w:rPr>
                <w:rFonts w:ascii="Arial" w:eastAsia="Times New Roman" w:hAnsi="Arial" w:cs="Arial"/>
                <w:color w:val="000000"/>
                <w:lang w:val="es-CO" w:eastAsia="es-CO"/>
              </w:rPr>
              <w:t>}</w:t>
            </w:r>
          </w:p>
        </w:tc>
      </w:tr>
    </w:tbl>
    <w:p w14:paraId="42D47C5E" w14:textId="77777777" w:rsidR="003E2682" w:rsidRPr="00A92BBA" w:rsidRDefault="003E2682" w:rsidP="00A92BBA">
      <w:pPr>
        <w:ind w:right="-234"/>
        <w:jc w:val="both"/>
        <w:rPr>
          <w:rFonts w:ascii="Arial" w:eastAsia="Times New Roman" w:hAnsi="Arial" w:cs="Arial"/>
          <w:color w:val="000000"/>
          <w:lang w:val="es-CO" w:eastAsia="es-CO"/>
        </w:rPr>
      </w:pPr>
    </w:p>
    <w:sectPr w:rsidR="003E2682" w:rsidRPr="00A92BBA" w:rsidSect="00D52074">
      <w:headerReference w:type="default" r:id="rId7"/>
      <w:footerReference w:type="default" r:id="rId8"/>
      <w:pgSz w:w="12240" w:h="15840"/>
      <w:pgMar w:top="1417" w:right="1701" w:bottom="1417" w:left="1701" w:header="68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DB001C" w14:textId="77777777" w:rsidR="0082601D" w:rsidRDefault="0082601D" w:rsidP="00BC328F">
      <w:pPr>
        <w:spacing w:after="0" w:line="240" w:lineRule="auto"/>
      </w:pPr>
      <w:r>
        <w:separator/>
      </w:r>
    </w:p>
  </w:endnote>
  <w:endnote w:type="continuationSeparator" w:id="0">
    <w:p w14:paraId="603C9757" w14:textId="77777777" w:rsidR="0082601D" w:rsidRDefault="0082601D" w:rsidP="00BC3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791AA" w14:textId="097CF1A4" w:rsidR="007D51E3" w:rsidRDefault="007D51E3" w:rsidP="007D51E3">
    <w:pPr>
      <w:pStyle w:val="Piedepgina"/>
      <w:rPr>
        <w:rFonts w:ascii="Bookman Old Style" w:hAnsi="Bookman Old Style"/>
        <w:lang w:val="es-CO"/>
      </w:rPr>
    </w:pPr>
  </w:p>
  <w:p w14:paraId="5BDD38B6" w14:textId="5FCCDF04" w:rsidR="007D51E3" w:rsidRDefault="007D51E3" w:rsidP="007D51E3">
    <w:pPr>
      <w:pStyle w:val="Piedepgina"/>
      <w:rPr>
        <w:rFonts w:ascii="Bookman Old Style" w:hAnsi="Bookman Old Style"/>
        <w:lang w:val="es-CO"/>
      </w:rPr>
    </w:pPr>
  </w:p>
  <w:p w14:paraId="2B25241F" w14:textId="1F0BD319" w:rsidR="007D51E3" w:rsidRDefault="007D51E3" w:rsidP="007D51E3">
    <w:pPr>
      <w:pStyle w:val="Piedepgina"/>
      <w:rPr>
        <w:rFonts w:ascii="Bookman Old Style" w:hAnsi="Bookman Old Style"/>
        <w:lang w:val="es-CO"/>
      </w:rPr>
    </w:pPr>
  </w:p>
  <w:p w14:paraId="74277082" w14:textId="380814FA" w:rsidR="007D51E3" w:rsidRPr="00D52074" w:rsidRDefault="00D52074" w:rsidP="00664571">
    <w:pPr>
      <w:pStyle w:val="Piedepgina"/>
      <w:jc w:val="center"/>
      <w:rPr>
        <w:rFonts w:ascii="Bookman Old Style" w:hAnsi="Bookman Old Style"/>
        <w:color w:val="767171" w:themeColor="background2" w:themeShade="80"/>
        <w:sz w:val="18"/>
        <w:szCs w:val="18"/>
        <w:lang w:val="es-CO"/>
      </w:rPr>
    </w:pPr>
    <w:r w:rsidRPr="00D52074">
      <w:rPr>
        <w:rFonts w:ascii="Bookman Old Style" w:hAnsi="Bookman Old Style"/>
        <w:color w:val="767171" w:themeColor="background2" w:themeShade="80"/>
        <w:sz w:val="18"/>
        <w:szCs w:val="18"/>
        <w:lang w:val="es-ES"/>
      </w:rPr>
      <w:t xml:space="preserve">Página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PAGE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1</w:t>
    </w:r>
    <w:r w:rsidRPr="00D52074">
      <w:rPr>
        <w:rFonts w:ascii="Bookman Old Style" w:hAnsi="Bookman Old Style"/>
        <w:b/>
        <w:bCs/>
        <w:color w:val="767171" w:themeColor="background2" w:themeShade="80"/>
        <w:sz w:val="18"/>
        <w:szCs w:val="18"/>
        <w:lang w:val="es-CO"/>
      </w:rPr>
      <w:fldChar w:fldCharType="end"/>
    </w:r>
    <w:r w:rsidRPr="00D52074">
      <w:rPr>
        <w:rFonts w:ascii="Bookman Old Style" w:hAnsi="Bookman Old Style"/>
        <w:color w:val="767171" w:themeColor="background2" w:themeShade="80"/>
        <w:sz w:val="18"/>
        <w:szCs w:val="18"/>
        <w:lang w:val="es-ES"/>
      </w:rPr>
      <w:t xml:space="preserve"> de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NUMPAGES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2</w:t>
    </w:r>
    <w:r w:rsidRPr="00D52074">
      <w:rPr>
        <w:rFonts w:ascii="Bookman Old Style" w:hAnsi="Bookman Old Style"/>
        <w:b/>
        <w:bCs/>
        <w:color w:val="767171" w:themeColor="background2" w:themeShade="80"/>
        <w:sz w:val="18"/>
        <w:szCs w:val="18"/>
        <w:lang w:val="es-CO"/>
      </w:rPr>
      <w:fldChar w:fldCharType="end"/>
    </w:r>
  </w:p>
  <w:p w14:paraId="27577DC8" w14:textId="17E26454" w:rsidR="007D51E3" w:rsidRDefault="007D51E3" w:rsidP="00664571">
    <w:pPr>
      <w:pStyle w:val="Piedepgina"/>
      <w:jc w:val="center"/>
      <w:rPr>
        <w:rFonts w:ascii="Bookman Old Style" w:hAnsi="Bookman Old Style"/>
        <w:lang w:val="es-CO"/>
      </w:rPr>
    </w:pPr>
  </w:p>
  <w:p w14:paraId="6D9C403A" w14:textId="28D66D03"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 xml:space="preserve">Dirección: </w:t>
    </w:r>
    <w:bookmarkStart w:id="1" w:name="_Hlk224335590"/>
    <w:r w:rsidRPr="001A4A5C">
      <w:rPr>
        <w:rFonts w:ascii="Bookman Old Style" w:hAnsi="Bookman Old Style"/>
        <w:lang w:val="es-CO"/>
      </w:rPr>
      <w:t xml:space="preserve">CRA 2 E # 15 A – 12, Barrio Abbas Turbay </w:t>
    </w:r>
  </w:p>
  <w:p w14:paraId="6BD7BB13" w14:textId="318B1BE4"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Florencia- Caquetá</w:t>
    </w:r>
  </w:p>
  <w:bookmarkEnd w:id="1"/>
  <w:p w14:paraId="5E6D9C55" w14:textId="116D4571" w:rsidR="001A4A5C" w:rsidRPr="001A4A5C" w:rsidRDefault="00F03438" w:rsidP="001A4A5C">
    <w:pPr>
      <w:pStyle w:val="Piedepgina"/>
      <w:jc w:val="center"/>
      <w:rPr>
        <w:rFonts w:ascii="Bookman Old Style" w:hAnsi="Bookman Old Style"/>
        <w:lang w:val="es-CO"/>
      </w:rPr>
    </w:pPr>
    <w:r>
      <w:rPr>
        <w:rFonts w:ascii="Bookman Old Style" w:hAnsi="Bookman Old Style"/>
        <w:noProof/>
        <w:sz w:val="24"/>
      </w:rPr>
      <mc:AlternateContent>
        <mc:Choice Requires="wps">
          <w:drawing>
            <wp:anchor distT="0" distB="0" distL="114300" distR="114300" simplePos="0" relativeHeight="251674624" behindDoc="0" locked="0" layoutInCell="1" allowOverlap="1" wp14:anchorId="2EC9C9D1" wp14:editId="6D722039">
              <wp:simplePos x="0" y="0"/>
              <wp:positionH relativeFrom="column">
                <wp:posOffset>-1104900</wp:posOffset>
              </wp:positionH>
              <wp:positionV relativeFrom="paragraph">
                <wp:posOffset>499001</wp:posOffset>
              </wp:positionV>
              <wp:extent cx="7992094" cy="285750"/>
              <wp:effectExtent l="0" t="0" r="9525" b="0"/>
              <wp:wrapNone/>
              <wp:docPr id="1974818947" name="Rectángulo 4"/>
              <wp:cNvGraphicFramePr/>
              <a:graphic xmlns:a="http://schemas.openxmlformats.org/drawingml/2006/main">
                <a:graphicData uri="http://schemas.microsoft.com/office/word/2010/wordprocessingShape">
                  <wps:wsp>
                    <wps:cNvSpPr/>
                    <wps:spPr>
                      <a:xfrm>
                        <a:off x="0" y="0"/>
                        <a:ext cx="7992094" cy="2857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3CB68" id="Rectángulo 4" o:spid="_x0000_s1026" style="position:absolute;margin-left:-87pt;margin-top:39.3pt;width:629.3pt;height: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7MxgrwIAAJoFAAAOAAAAZHJzL2Uyb0RvYy54bWysVM1u2zAMvg/YOwi6r/6B08RBnSJokWFA 0RZth54VWY4NyKImKXGyt9mz7MVGyT/tuu4y7CKLJvmR/ETy4vLYSnIQxjagCpqcxZQIxaFs1K6g X582nxaUWMdUySQoUdCTsPRy9fHDRaeXIoUaZCkMQRBll50uaO2cXkaR5bVomT0DLRQqKzAtcyia XVQa1iF6K6M0js+jDkypDXBhLf697pV0FfCrSnB3V1VWOCILirm5cJpwbv0ZrS7YcmeYrhs+pMH+ IYuWNQqDTlDXzDGyN80fUG3DDVio3BmHNoKqargINWA1SfymmseaaRFqQXKsnmiy/w+W3x7uDWlK fLt8ni2SRZ7NKVGsxbd6QPZ+/lC7vQSSeaY6bZfo8KjvzSBZvPqyj5Vp/RcLIsfA7mliVxwd4fhz nudpnGeUcNSli9l8FuiPXry1se6zgJb4S0ENxg+kssONdRgRTUcTH8yCbMpNI2UQzG57JQ05MP/S mzRPzn3K6PKbmVSkw1rTeRwHaAUeoDeUCu19jX1V4eZOUnh4qR5EhTxhHWlwDB0qpoiMc6Fc0qtq Voo+kWQWY6AhD9/T3iNkFQA9coXxJ+wBYLTsQUbsHmaw964iNPjk3Ff0l8R658kjRAblJue2UWDe q0xiVUPk3n4kqafGs7SF8oRdZKAfL6v5psEXvGHW3TOD84SThzvC3eFRScAHgOFGSQ3m+3v/vT22 OWop6XA+C2q/7ZkRlMgvCgcgT7LMD3QQstk8RcG81mxfa9S+vQJsjAS3kebh6u2dHK+VgfYZV8na R0UVUxxjF5Q7MwpXrt8buIy4WK+DGQ6xZu5GPWruwT2rvkOfjs/M6KGNHQ7ALYyzzJZvurm39Z4K 1nsHVRNa/YXXgW9cAKFxhmXlN8xrOVi9rNTVLwAAAP//AwBQSwMEFAAGAAgAAAAhAEoM5xPgAAAA DAEAAA8AAABkcnMvZG93bnJldi54bWxMj8FuwjAQRO+V+g/WVuoNnNA0RGkchFoBpwoB/QATb+OI eJ3GDkn/vuZUbjPa0eybYjWZll2xd40lAfE8AoZUWdVQLeDrtJllwJyXpGRrCQX8ooNV+fhQyFzZ kQ54PfqahRJyuRSgve9yzl2l0Ug3tx1SuH3b3kgfbF9z1csxlJuWL6Io5UY2FD5o2eG7xupyHIyA nf9Ru+34maz38Svth0ZfPlAL8fw0rd+AeZz8fxhu+AEdysB0tgMpx1oBs3iZhDFewDJLgd0SUZYE dQ5q8ZICLwt+P6L8AwAA//8DAFBLAQItABQABgAIAAAAIQC2gziS/gAAAOEBAAATAAAAAAAAAAAA AAAAAAAAAABbQ29udGVudF9UeXBlc10ueG1sUEsBAi0AFAAGAAgAAAAhADj9If/WAAAAlAEAAAsA AAAAAAAAAAAAAAAALwEAAF9yZWxzLy5yZWxzUEsBAi0AFAAGAAgAAAAhAGfszGCvAgAAmgUAAA4A AAAAAAAAAAAAAAAALgIAAGRycy9lMm9Eb2MueG1sUEsBAi0AFAAGAAgAAAAhAEoM5xPgAAAADAEA AA8AAAAAAAAAAAAAAAAACQUAAGRycy9kb3ducmV2LnhtbFBLBQYAAAAABAAEAPMAAAAWBgAAAAA= " fillcolor="#0f2916" stroked="f" strokeweight="1pt"/>
          </w:pict>
        </mc:Fallback>
      </mc:AlternateContent>
    </w:r>
    <w:r w:rsidR="00664571" w:rsidRPr="001A4A5C">
      <w:rPr>
        <w:rFonts w:ascii="Bookman Old Style" w:hAnsi="Bookman Old Style"/>
        <w:lang w:val="es-CO"/>
      </w:rPr>
      <w:t>Correo</w:t>
    </w:r>
    <w:bookmarkStart w:id="2" w:name="_Hlk224335619"/>
    <w:bookmarkStart w:id="3" w:name="_Hlk224335620"/>
    <w:r w:rsidR="00664571" w:rsidRPr="001A4A5C">
      <w:rPr>
        <w:rFonts w:ascii="Bookman Old Style" w:hAnsi="Bookman Old Style"/>
        <w:lang w:val="es-CO"/>
      </w:rPr>
      <w:t xml:space="preserve">:  </w:t>
    </w:r>
    <w:hyperlink r:id="rId1" w:history="1">
      <w:r w:rsidR="001A4A5C" w:rsidRPr="001A4A5C">
        <w:rPr>
          <w:rStyle w:val="Hipervnculo"/>
          <w:rFonts w:ascii="Bookman Old Style" w:hAnsi="Bookman Old Style"/>
          <w:lang w:val="es-CO"/>
        </w:rPr>
        <w:t>ing3dreco@gmail.com</w:t>
      </w:r>
    </w:hyperlink>
    <w:r w:rsidR="001A4A5C" w:rsidRPr="001A4A5C">
      <w:rPr>
        <w:rFonts w:ascii="Bookman Old Style" w:hAnsi="Bookman Old Style"/>
        <w:lang w:val="es-CO"/>
      </w:rPr>
      <w:br/>
      <w:t>teléfono:</w:t>
    </w:r>
    <w:r w:rsidR="001A4A5C">
      <w:rPr>
        <w:rFonts w:ascii="Bookman Old Style" w:hAnsi="Bookman Old Style"/>
        <w:lang w:val="es-CO"/>
      </w:rPr>
      <w:t xml:space="preserve"> 3227590147</w:t>
    </w:r>
    <w:bookmarkEnd w:id="2"/>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2D2505" w14:textId="77777777" w:rsidR="0082601D" w:rsidRDefault="0082601D" w:rsidP="00BC328F">
      <w:pPr>
        <w:spacing w:after="0" w:line="240" w:lineRule="auto"/>
      </w:pPr>
      <w:bookmarkStart w:id="0" w:name="_Hlk146618359"/>
      <w:bookmarkEnd w:id="0"/>
      <w:r>
        <w:separator/>
      </w:r>
    </w:p>
  </w:footnote>
  <w:footnote w:type="continuationSeparator" w:id="0">
    <w:p w14:paraId="228B3D0B" w14:textId="77777777" w:rsidR="0082601D" w:rsidRDefault="0082601D" w:rsidP="00BC3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8AEAF" w14:textId="586A638D" w:rsidR="00BC328F" w:rsidRDefault="007217C5" w:rsidP="00F03438">
    <w:pPr>
      <w:spacing w:after="0" w:line="240" w:lineRule="auto"/>
      <w:contextualSpacing/>
    </w:pPr>
    <w:r>
      <w:rPr>
        <w:rFonts w:ascii="Bookman Old Style" w:hAnsi="Bookman Old Style"/>
        <w:noProof/>
        <w:sz w:val="24"/>
      </w:rPr>
      <w:drawing>
        <wp:anchor distT="0" distB="0" distL="114300" distR="114300" simplePos="0" relativeHeight="251670528" behindDoc="0" locked="0" layoutInCell="1" allowOverlap="1" wp14:anchorId="1CECD43A" wp14:editId="1CAC11F4">
          <wp:simplePos x="0" y="0"/>
          <wp:positionH relativeFrom="column">
            <wp:posOffset>1985010</wp:posOffset>
          </wp:positionH>
          <wp:positionV relativeFrom="paragraph">
            <wp:posOffset>48932</wp:posOffset>
          </wp:positionV>
          <wp:extent cx="1431925" cy="1059180"/>
          <wp:effectExtent l="0" t="0" r="0" b="7620"/>
          <wp:wrapTopAndBottom/>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pic:cNvPicPr/>
                </pic:nvPicPr>
                <pic:blipFill rotWithShape="1">
                  <a:blip r:embed="rId1">
                    <a:extLst>
                      <a:ext uri="{28A0092B-C50C-407E-A947-70E740481C1C}">
                        <a14:useLocalDpi xmlns:a14="http://schemas.microsoft.com/office/drawing/2010/main" val="0"/>
                      </a:ext>
                    </a:extLst>
                  </a:blip>
                  <a:srcRect t="-1877" b="-1546"/>
                  <a:stretch/>
                </pic:blipFill>
                <pic:spPr bwMode="auto">
                  <a:xfrm>
                    <a:off x="0" y="0"/>
                    <a:ext cx="1431925" cy="1059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4F56">
      <w:rPr>
        <w:rFonts w:ascii="Bookman Old Style" w:hAnsi="Bookman Old Style"/>
        <w:noProof/>
        <w:sz w:val="24"/>
      </w:rPr>
      <mc:AlternateContent>
        <mc:Choice Requires="wps">
          <w:drawing>
            <wp:anchor distT="0" distB="0" distL="114300" distR="114300" simplePos="0" relativeHeight="251672576" behindDoc="0" locked="0" layoutInCell="1" allowOverlap="1" wp14:anchorId="71C32EE6" wp14:editId="70C2D5E4">
              <wp:simplePos x="0" y="0"/>
              <wp:positionH relativeFrom="column">
                <wp:posOffset>-1187450</wp:posOffset>
              </wp:positionH>
              <wp:positionV relativeFrom="paragraph">
                <wp:posOffset>-434340</wp:posOffset>
              </wp:positionV>
              <wp:extent cx="8074025" cy="438150"/>
              <wp:effectExtent l="0" t="0" r="3175" b="0"/>
              <wp:wrapNone/>
              <wp:docPr id="1477698189" name="Rectángulo 4"/>
              <wp:cNvGraphicFramePr/>
              <a:graphic xmlns:a="http://schemas.openxmlformats.org/drawingml/2006/main">
                <a:graphicData uri="http://schemas.microsoft.com/office/word/2010/wordprocessingShape">
                  <wps:wsp>
                    <wps:cNvSpPr/>
                    <wps:spPr>
                      <a:xfrm>
                        <a:off x="0" y="0"/>
                        <a:ext cx="8074025" cy="4381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C4ADD" id="Rectángulo 4" o:spid="_x0000_s1026" style="position:absolute;margin-left:-93.5pt;margin-top:-34.2pt;width:635.75pt;height:3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dPUXrQIAAJoFAAAOAAAAZHJzL2Uyb0RvYy54bWysVNtOHDEMfa/Uf4jyXubSgb2IWbQCbVUJ AQIqnrOZZGekTJwm2Vv/pt/SH8PJXKCUvlR9ycRj+9g+sX1+cWgV2QnrGtAlzU5SSoTmUDV6U9Jv j6tPU0qcZ7piCrQo6VE4erH4+OF8b+YihxpUJSxBEO3me1PS2nszTxLHa9EydwJGaFRKsC3zKNpN Ulm2R/RWJXmaniV7sJWxwIVz+PeqU9JFxJdScH8rpROeqJJibj6eNp7rcCaLczbfWGbqhvdpsH/I omWNxqAj1BXzjGxt8wdU23ALDqQ/4dAmIGXDRawBq8nSN9U81MyIWAuS48xIk/t/sPxmd2dJU+Hb FZPJ2WyaTWeUaNbiW90je79+6s1WASkCU3vj5ujwYO5sLzm8hrIP0rbhiwWRQ2T3OLIrDp5w/DlN J0Wan1LCUVd8nmankf7kxdtY578IaEm4lNRi/Egq2107jxHRdDAJwRyoplo1SkXBbtaXypIdCy+9 ymfZWUgZXX4zU5rssdZ8kqYRWkMA6AyVRvtQY1dVvPmjEgFe6XshkSesI4+OsUPFGJFxLrTPOlXN KtElgjVioD6P0NPBI2YVAQOyxPgjdg8wWHYgA3YH09sHVxEbfHTuKvpLYp3z6BEjg/ajc9tosO9V prCqPnJnP5DUURNYWkN1xC6y0I2XM3zV4AteM+fvmMV5wsnDHeFv8ZAK8AGgv1FSg/3x3v9gj22O Wkr2OJ8ldd+3zApK1FeNAzDLiiIMdBSK00mOgn2tWb/W6G17CdgYGW4jw+M12Hs1XKWF9glXyTJE RRXTHGOXlHs7CJe+2xu4jLhYLqMZDrFh/lo/GB7AA6uhQx8PT8yavo09DsANDLPM5m+6ubMNnhqW Ww+yia3+wmvPNy6A2Dj9sgob5rUcrV5W6uIZAAD//wMAUEsDBBQABgAIAAAAIQBq9h8n3wAAAAoB AAAPAAAAZHJzL2Rvd25yZXYueG1sTI/BbsIwEETvlfoP1iL1Bk6qEKI0DkJFlFOFgH6AiZc4Il6n sUPSv685tbdZzWj2TbGeTMvu2LvGkoB4EQFDqqxqqBbwdd7NM2DOS1KytYQCftDBunx+KmSu7EhH vJ98zUIJuVwK0N53Oeeu0mikW9gOKXhX2xvpw9nXXPVyDOWm5a9RlHIjGwoftOzwXWN1Ow1GwN5/ q/3H+JlsDvGSDkOjb1vUQrzMps0bMI+T/wvDAz+gQxmYLnYg5VgrYB5nqzDGB5VmCbBHJMqSJbCL gBR4WfD/E8pfAAAA//8DAFBLAQItABQABgAIAAAAIQC2gziS/gAAAOEBAAATAAAAAAAAAAAAAAAA AAAAAABbQ29udGVudF9UeXBlc10ueG1sUEsBAi0AFAAGAAgAAAAhADj9If/WAAAAlAEAAAsAAAAA AAAAAAAAAAAALwEAAF9yZWxzLy5yZWxzUEsBAi0AFAAGAAgAAAAhAJ509RetAgAAmgUAAA4AAAAA AAAAAAAAAAAALgIAAGRycy9lMm9Eb2MueG1sUEsBAi0AFAAGAAgAAAAhAGr2HyffAAAACgEAAA8A AAAAAAAAAAAAAAAABwUAAGRycy9kb3ducmV2LnhtbFBLBQYAAAAABAAEAPMAAAATBgAAAAA= " fillcolor="#0f2916" strok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0349D"/>
    <w:multiLevelType w:val="hybridMultilevel"/>
    <w:tmpl w:val="68DEA072"/>
    <w:lvl w:ilvl="0" w:tplc="240A000F">
      <w:start w:val="1"/>
      <w:numFmt w:val="decimal"/>
      <w:lvlText w:val="%1."/>
      <w:lvlJc w:val="left"/>
      <w:pPr>
        <w:ind w:left="795" w:hanging="360"/>
      </w:pPr>
    </w:lvl>
    <w:lvl w:ilvl="1" w:tplc="240A0019" w:tentative="1">
      <w:start w:val="1"/>
      <w:numFmt w:val="lowerLetter"/>
      <w:lvlText w:val="%2."/>
      <w:lvlJc w:val="left"/>
      <w:pPr>
        <w:ind w:left="1515" w:hanging="360"/>
      </w:pPr>
    </w:lvl>
    <w:lvl w:ilvl="2" w:tplc="240A001B" w:tentative="1">
      <w:start w:val="1"/>
      <w:numFmt w:val="lowerRoman"/>
      <w:lvlText w:val="%3."/>
      <w:lvlJc w:val="right"/>
      <w:pPr>
        <w:ind w:left="2235" w:hanging="180"/>
      </w:pPr>
    </w:lvl>
    <w:lvl w:ilvl="3" w:tplc="240A000F" w:tentative="1">
      <w:start w:val="1"/>
      <w:numFmt w:val="decimal"/>
      <w:lvlText w:val="%4."/>
      <w:lvlJc w:val="left"/>
      <w:pPr>
        <w:ind w:left="2955" w:hanging="360"/>
      </w:pPr>
    </w:lvl>
    <w:lvl w:ilvl="4" w:tplc="240A0019" w:tentative="1">
      <w:start w:val="1"/>
      <w:numFmt w:val="lowerLetter"/>
      <w:lvlText w:val="%5."/>
      <w:lvlJc w:val="left"/>
      <w:pPr>
        <w:ind w:left="3675" w:hanging="360"/>
      </w:pPr>
    </w:lvl>
    <w:lvl w:ilvl="5" w:tplc="240A001B" w:tentative="1">
      <w:start w:val="1"/>
      <w:numFmt w:val="lowerRoman"/>
      <w:lvlText w:val="%6."/>
      <w:lvlJc w:val="right"/>
      <w:pPr>
        <w:ind w:left="4395" w:hanging="180"/>
      </w:pPr>
    </w:lvl>
    <w:lvl w:ilvl="6" w:tplc="240A000F" w:tentative="1">
      <w:start w:val="1"/>
      <w:numFmt w:val="decimal"/>
      <w:lvlText w:val="%7."/>
      <w:lvlJc w:val="left"/>
      <w:pPr>
        <w:ind w:left="5115" w:hanging="360"/>
      </w:pPr>
    </w:lvl>
    <w:lvl w:ilvl="7" w:tplc="240A0019" w:tentative="1">
      <w:start w:val="1"/>
      <w:numFmt w:val="lowerLetter"/>
      <w:lvlText w:val="%8."/>
      <w:lvlJc w:val="left"/>
      <w:pPr>
        <w:ind w:left="5835" w:hanging="360"/>
      </w:pPr>
    </w:lvl>
    <w:lvl w:ilvl="8" w:tplc="240A001B" w:tentative="1">
      <w:start w:val="1"/>
      <w:numFmt w:val="lowerRoman"/>
      <w:lvlText w:val="%9."/>
      <w:lvlJc w:val="right"/>
      <w:pPr>
        <w:ind w:left="6555" w:hanging="180"/>
      </w:pPr>
    </w:lvl>
  </w:abstractNum>
  <w:abstractNum w:abstractNumId="1" w15:restartNumberingAfterBreak="0">
    <w:nsid w:val="239252BF"/>
    <w:multiLevelType w:val="hybridMultilevel"/>
    <w:tmpl w:val="75B08024"/>
    <w:lvl w:ilvl="0" w:tplc="6AE8AC16">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2" w15:restartNumberingAfterBreak="0">
    <w:nsid w:val="2EF357B0"/>
    <w:multiLevelType w:val="hybridMultilevel"/>
    <w:tmpl w:val="1FE85B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6A55A66"/>
    <w:multiLevelType w:val="hybridMultilevel"/>
    <w:tmpl w:val="EED888B8"/>
    <w:lvl w:ilvl="0" w:tplc="AC0A88A0">
      <w:start w:val="1"/>
      <w:numFmt w:val="upperLetter"/>
      <w:lvlText w:val="%1."/>
      <w:lvlJc w:val="left"/>
      <w:pPr>
        <w:ind w:left="-66" w:hanging="360"/>
      </w:pPr>
      <w:rPr>
        <w:rFonts w:hint="default"/>
        <w:b/>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 w15:restartNumberingAfterBreak="0">
    <w:nsid w:val="513E74D7"/>
    <w:multiLevelType w:val="hybridMultilevel"/>
    <w:tmpl w:val="3FD6614E"/>
    <w:lvl w:ilvl="0" w:tplc="41280D8A">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61574B3"/>
    <w:multiLevelType w:val="hybridMultilevel"/>
    <w:tmpl w:val="71A89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2"/>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D68"/>
    <w:rsid w:val="0000677F"/>
    <w:rsid w:val="0002720E"/>
    <w:rsid w:val="000705F3"/>
    <w:rsid w:val="0007492F"/>
    <w:rsid w:val="00092AE4"/>
    <w:rsid w:val="00095890"/>
    <w:rsid w:val="000C380D"/>
    <w:rsid w:val="000F0E49"/>
    <w:rsid w:val="00105BB1"/>
    <w:rsid w:val="00121216"/>
    <w:rsid w:val="001417D4"/>
    <w:rsid w:val="00144A76"/>
    <w:rsid w:val="00164F68"/>
    <w:rsid w:val="00171A31"/>
    <w:rsid w:val="00177CAB"/>
    <w:rsid w:val="001A0694"/>
    <w:rsid w:val="001A4A5C"/>
    <w:rsid w:val="001C6732"/>
    <w:rsid w:val="001D4FA0"/>
    <w:rsid w:val="001E2EC6"/>
    <w:rsid w:val="00202DFD"/>
    <w:rsid w:val="002112AB"/>
    <w:rsid w:val="002168AE"/>
    <w:rsid w:val="0023645F"/>
    <w:rsid w:val="00244284"/>
    <w:rsid w:val="00244E6A"/>
    <w:rsid w:val="002450D2"/>
    <w:rsid w:val="00245C65"/>
    <w:rsid w:val="00250DA1"/>
    <w:rsid w:val="002F4150"/>
    <w:rsid w:val="002F7B20"/>
    <w:rsid w:val="00371166"/>
    <w:rsid w:val="00377CBD"/>
    <w:rsid w:val="00392F86"/>
    <w:rsid w:val="003B58DC"/>
    <w:rsid w:val="003E2682"/>
    <w:rsid w:val="00401DFD"/>
    <w:rsid w:val="00406031"/>
    <w:rsid w:val="004213E4"/>
    <w:rsid w:val="00421E3F"/>
    <w:rsid w:val="00422818"/>
    <w:rsid w:val="00443E7D"/>
    <w:rsid w:val="00444603"/>
    <w:rsid w:val="00445B80"/>
    <w:rsid w:val="00454C2C"/>
    <w:rsid w:val="00457B2F"/>
    <w:rsid w:val="004C0F0E"/>
    <w:rsid w:val="004C58CD"/>
    <w:rsid w:val="004F3C8C"/>
    <w:rsid w:val="00505D87"/>
    <w:rsid w:val="00530ED9"/>
    <w:rsid w:val="00534BC4"/>
    <w:rsid w:val="00551A0F"/>
    <w:rsid w:val="00561B81"/>
    <w:rsid w:val="00563A95"/>
    <w:rsid w:val="0057560A"/>
    <w:rsid w:val="00581297"/>
    <w:rsid w:val="005A240E"/>
    <w:rsid w:val="005A433C"/>
    <w:rsid w:val="005C7BE4"/>
    <w:rsid w:val="005E6A65"/>
    <w:rsid w:val="006135DF"/>
    <w:rsid w:val="0062148D"/>
    <w:rsid w:val="0062495E"/>
    <w:rsid w:val="00664571"/>
    <w:rsid w:val="00664806"/>
    <w:rsid w:val="00665CAF"/>
    <w:rsid w:val="00666C03"/>
    <w:rsid w:val="00676324"/>
    <w:rsid w:val="00717A63"/>
    <w:rsid w:val="007217C5"/>
    <w:rsid w:val="007874A8"/>
    <w:rsid w:val="007A050C"/>
    <w:rsid w:val="007B5573"/>
    <w:rsid w:val="007D0185"/>
    <w:rsid w:val="007D100F"/>
    <w:rsid w:val="007D51E3"/>
    <w:rsid w:val="007F7325"/>
    <w:rsid w:val="008069CE"/>
    <w:rsid w:val="0082601D"/>
    <w:rsid w:val="00853F6A"/>
    <w:rsid w:val="00853FEE"/>
    <w:rsid w:val="00860ADE"/>
    <w:rsid w:val="0086380D"/>
    <w:rsid w:val="00874F56"/>
    <w:rsid w:val="00892605"/>
    <w:rsid w:val="008A063E"/>
    <w:rsid w:val="008C0F65"/>
    <w:rsid w:val="008C27C8"/>
    <w:rsid w:val="008F4F6D"/>
    <w:rsid w:val="0091282D"/>
    <w:rsid w:val="00922BF6"/>
    <w:rsid w:val="009461C1"/>
    <w:rsid w:val="009A5E9F"/>
    <w:rsid w:val="009D6C95"/>
    <w:rsid w:val="009F718E"/>
    <w:rsid w:val="00A174E0"/>
    <w:rsid w:val="00A50408"/>
    <w:rsid w:val="00A55736"/>
    <w:rsid w:val="00A649E4"/>
    <w:rsid w:val="00A86309"/>
    <w:rsid w:val="00A92BBA"/>
    <w:rsid w:val="00AA2A82"/>
    <w:rsid w:val="00AB348C"/>
    <w:rsid w:val="00AC069C"/>
    <w:rsid w:val="00AE50F2"/>
    <w:rsid w:val="00AF2CB0"/>
    <w:rsid w:val="00B54313"/>
    <w:rsid w:val="00B766AF"/>
    <w:rsid w:val="00B77B68"/>
    <w:rsid w:val="00BC328F"/>
    <w:rsid w:val="00BD1169"/>
    <w:rsid w:val="00BE426B"/>
    <w:rsid w:val="00BF2C41"/>
    <w:rsid w:val="00C26E15"/>
    <w:rsid w:val="00C53AA9"/>
    <w:rsid w:val="00CA59DE"/>
    <w:rsid w:val="00CC585D"/>
    <w:rsid w:val="00CD3346"/>
    <w:rsid w:val="00CD3BF9"/>
    <w:rsid w:val="00CE2388"/>
    <w:rsid w:val="00CF6863"/>
    <w:rsid w:val="00D017DB"/>
    <w:rsid w:val="00D07069"/>
    <w:rsid w:val="00D52074"/>
    <w:rsid w:val="00D57D68"/>
    <w:rsid w:val="00D650BA"/>
    <w:rsid w:val="00D65B38"/>
    <w:rsid w:val="00D65B79"/>
    <w:rsid w:val="00D70DAF"/>
    <w:rsid w:val="00D71511"/>
    <w:rsid w:val="00D74E26"/>
    <w:rsid w:val="00D83B1E"/>
    <w:rsid w:val="00DA79D9"/>
    <w:rsid w:val="00DB379D"/>
    <w:rsid w:val="00DD43B9"/>
    <w:rsid w:val="00E16561"/>
    <w:rsid w:val="00E52C39"/>
    <w:rsid w:val="00E64310"/>
    <w:rsid w:val="00E85A9E"/>
    <w:rsid w:val="00EA0A83"/>
    <w:rsid w:val="00EC79EF"/>
    <w:rsid w:val="00ED64EC"/>
    <w:rsid w:val="00EF6BED"/>
    <w:rsid w:val="00EF764E"/>
    <w:rsid w:val="00F03438"/>
    <w:rsid w:val="00F15BA3"/>
    <w:rsid w:val="00F9198B"/>
    <w:rsid w:val="00FB6F1C"/>
    <w:rsid w:val="00FE1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8F2CCA"/>
  <w15:chartTrackingRefBased/>
  <w15:docId w15:val="{ABD8A553-61D9-4FFC-8EB5-60D1460C0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7D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53FEE"/>
    <w:pPr>
      <w:spacing w:after="0" w:line="240" w:lineRule="auto"/>
    </w:pPr>
  </w:style>
  <w:style w:type="paragraph" w:customStyle="1" w:styleId="Default">
    <w:name w:val="Default"/>
    <w:rsid w:val="00171A31"/>
    <w:pPr>
      <w:autoSpaceDE w:val="0"/>
      <w:autoSpaceDN w:val="0"/>
      <w:adjustRightInd w:val="0"/>
      <w:spacing w:after="0" w:line="240" w:lineRule="auto"/>
    </w:pPr>
    <w:rPr>
      <w:rFonts w:ascii="Arial" w:hAnsi="Arial" w:cs="Arial"/>
      <w:color w:val="000000"/>
      <w:sz w:val="24"/>
      <w:szCs w:val="24"/>
    </w:rPr>
  </w:style>
  <w:style w:type="paragraph" w:styleId="Textodeglobo">
    <w:name w:val="Balloon Text"/>
    <w:basedOn w:val="Normal"/>
    <w:link w:val="TextodegloboCar"/>
    <w:uiPriority w:val="99"/>
    <w:semiHidden/>
    <w:unhideWhenUsed/>
    <w:rsid w:val="00860AD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60ADE"/>
    <w:rPr>
      <w:rFonts w:ascii="Segoe UI" w:hAnsi="Segoe UI" w:cs="Segoe UI"/>
      <w:sz w:val="18"/>
      <w:szCs w:val="18"/>
    </w:rPr>
  </w:style>
  <w:style w:type="paragraph" w:styleId="Encabezado">
    <w:name w:val="header"/>
    <w:basedOn w:val="Normal"/>
    <w:link w:val="EncabezadoCar"/>
    <w:uiPriority w:val="99"/>
    <w:unhideWhenUsed/>
    <w:rsid w:val="00BC328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28F"/>
  </w:style>
  <w:style w:type="paragraph" w:styleId="Piedepgina">
    <w:name w:val="footer"/>
    <w:basedOn w:val="Normal"/>
    <w:link w:val="PiedepginaCar"/>
    <w:uiPriority w:val="99"/>
    <w:unhideWhenUsed/>
    <w:rsid w:val="00BC328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28F"/>
  </w:style>
  <w:style w:type="character" w:styleId="Hipervnculo">
    <w:name w:val="Hyperlink"/>
    <w:basedOn w:val="Fuentedeprrafopredeter"/>
    <w:uiPriority w:val="99"/>
    <w:unhideWhenUsed/>
    <w:rsid w:val="007D100F"/>
    <w:rPr>
      <w:color w:val="0563C1" w:themeColor="hyperlink"/>
      <w:u w:val="single"/>
    </w:rPr>
  </w:style>
  <w:style w:type="character" w:styleId="Mencinsinresolver">
    <w:name w:val="Unresolved Mention"/>
    <w:basedOn w:val="Fuentedeprrafopredeter"/>
    <w:uiPriority w:val="99"/>
    <w:semiHidden/>
    <w:unhideWhenUsed/>
    <w:rsid w:val="007D100F"/>
    <w:rPr>
      <w:color w:val="605E5C"/>
      <w:shd w:val="clear" w:color="auto" w:fill="E1DFDD"/>
    </w:rPr>
  </w:style>
  <w:style w:type="paragraph" w:styleId="NormalWeb">
    <w:name w:val="Normal (Web)"/>
    <w:basedOn w:val="Normal"/>
    <w:uiPriority w:val="99"/>
    <w:semiHidden/>
    <w:unhideWhenUsed/>
    <w:rsid w:val="008C27C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styleId="Prrafodelista">
    <w:name w:val="List Paragraph"/>
    <w:basedOn w:val="Normal"/>
    <w:uiPriority w:val="34"/>
    <w:qFormat/>
    <w:rsid w:val="00AE50F2"/>
    <w:pPr>
      <w:ind w:left="720"/>
      <w:contextualSpacing/>
    </w:pPr>
  </w:style>
  <w:style w:type="table" w:styleId="Tablaconcuadrcula">
    <w:name w:val="Table Grid"/>
    <w:basedOn w:val="Tablanormal"/>
    <w:uiPriority w:val="39"/>
    <w:rsid w:val="00141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unhideWhenUsed/>
    <w:rsid w:val="00D520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245305">
      <w:bodyDiv w:val="1"/>
      <w:marLeft w:val="0"/>
      <w:marRight w:val="0"/>
      <w:marTop w:val="0"/>
      <w:marBottom w:val="0"/>
      <w:divBdr>
        <w:top w:val="none" w:sz="0" w:space="0" w:color="auto"/>
        <w:left w:val="none" w:sz="0" w:space="0" w:color="auto"/>
        <w:bottom w:val="none" w:sz="0" w:space="0" w:color="auto"/>
        <w:right w:val="none" w:sz="0" w:space="0" w:color="auto"/>
      </w:divBdr>
    </w:div>
    <w:div w:id="454980596">
      <w:bodyDiv w:val="1"/>
      <w:marLeft w:val="0"/>
      <w:marRight w:val="0"/>
      <w:marTop w:val="0"/>
      <w:marBottom w:val="0"/>
      <w:divBdr>
        <w:top w:val="none" w:sz="0" w:space="0" w:color="auto"/>
        <w:left w:val="none" w:sz="0" w:space="0" w:color="auto"/>
        <w:bottom w:val="none" w:sz="0" w:space="0" w:color="auto"/>
        <w:right w:val="none" w:sz="0" w:space="0" w:color="auto"/>
      </w:divBdr>
      <w:divsChild>
        <w:div w:id="349836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758625">
      <w:bodyDiv w:val="1"/>
      <w:marLeft w:val="0"/>
      <w:marRight w:val="0"/>
      <w:marTop w:val="0"/>
      <w:marBottom w:val="0"/>
      <w:divBdr>
        <w:top w:val="none" w:sz="0" w:space="0" w:color="auto"/>
        <w:left w:val="none" w:sz="0" w:space="0" w:color="auto"/>
        <w:bottom w:val="none" w:sz="0" w:space="0" w:color="auto"/>
        <w:right w:val="none" w:sz="0" w:space="0" w:color="auto"/>
      </w:divBdr>
    </w:div>
    <w:div w:id="1084378882">
      <w:bodyDiv w:val="1"/>
      <w:marLeft w:val="0"/>
      <w:marRight w:val="0"/>
      <w:marTop w:val="0"/>
      <w:marBottom w:val="0"/>
      <w:divBdr>
        <w:top w:val="none" w:sz="0" w:space="0" w:color="auto"/>
        <w:left w:val="none" w:sz="0" w:space="0" w:color="auto"/>
        <w:bottom w:val="none" w:sz="0" w:space="0" w:color="auto"/>
        <w:right w:val="none" w:sz="0" w:space="0" w:color="auto"/>
      </w:divBdr>
    </w:div>
    <w:div w:id="1348293278">
      <w:bodyDiv w:val="1"/>
      <w:marLeft w:val="0"/>
      <w:marRight w:val="0"/>
      <w:marTop w:val="0"/>
      <w:marBottom w:val="0"/>
      <w:divBdr>
        <w:top w:val="none" w:sz="0" w:space="0" w:color="auto"/>
        <w:left w:val="none" w:sz="0" w:space="0" w:color="auto"/>
        <w:bottom w:val="none" w:sz="0" w:space="0" w:color="auto"/>
        <w:right w:val="none" w:sz="0" w:space="0" w:color="auto"/>
      </w:divBdr>
    </w:div>
    <w:div w:id="1839153991">
      <w:bodyDiv w:val="1"/>
      <w:marLeft w:val="0"/>
      <w:marRight w:val="0"/>
      <w:marTop w:val="0"/>
      <w:marBottom w:val="0"/>
      <w:divBdr>
        <w:top w:val="none" w:sz="0" w:space="0" w:color="auto"/>
        <w:left w:val="none" w:sz="0" w:space="0" w:color="auto"/>
        <w:bottom w:val="none" w:sz="0" w:space="0" w:color="auto"/>
        <w:right w:val="none" w:sz="0" w:space="0" w:color="auto"/>
      </w:divBdr>
    </w:div>
    <w:div w:id="1908876481">
      <w:bodyDiv w:val="1"/>
      <w:marLeft w:val="0"/>
      <w:marRight w:val="0"/>
      <w:marTop w:val="0"/>
      <w:marBottom w:val="0"/>
      <w:divBdr>
        <w:top w:val="none" w:sz="0" w:space="0" w:color="auto"/>
        <w:left w:val="none" w:sz="0" w:space="0" w:color="auto"/>
        <w:bottom w:val="none" w:sz="0" w:space="0" w:color="auto"/>
        <w:right w:val="none" w:sz="0" w:space="0" w:color="auto"/>
      </w:divBdr>
    </w:div>
    <w:div w:id="2035156121">
      <w:bodyDiv w:val="1"/>
      <w:marLeft w:val="0"/>
      <w:marRight w:val="0"/>
      <w:marTop w:val="0"/>
      <w:marBottom w:val="0"/>
      <w:divBdr>
        <w:top w:val="none" w:sz="0" w:space="0" w:color="auto"/>
        <w:left w:val="none" w:sz="0" w:space="0" w:color="auto"/>
        <w:bottom w:val="none" w:sz="0" w:space="0" w:color="auto"/>
        <w:right w:val="none" w:sz="0" w:space="0" w:color="auto"/>
      </w:divBdr>
    </w:div>
    <w:div w:id="2081902261">
      <w:bodyDiv w:val="1"/>
      <w:marLeft w:val="0"/>
      <w:marRight w:val="0"/>
      <w:marTop w:val="0"/>
      <w:marBottom w:val="0"/>
      <w:divBdr>
        <w:top w:val="none" w:sz="0" w:space="0" w:color="auto"/>
        <w:left w:val="none" w:sz="0" w:space="0" w:color="auto"/>
        <w:bottom w:val="none" w:sz="0" w:space="0" w:color="auto"/>
        <w:right w:val="none" w:sz="0" w:space="0" w:color="auto"/>
      </w:divBdr>
    </w:div>
    <w:div w:id="2084184699">
      <w:bodyDiv w:val="1"/>
      <w:marLeft w:val="0"/>
      <w:marRight w:val="0"/>
      <w:marTop w:val="0"/>
      <w:marBottom w:val="0"/>
      <w:divBdr>
        <w:top w:val="none" w:sz="0" w:space="0" w:color="auto"/>
        <w:left w:val="none" w:sz="0" w:space="0" w:color="auto"/>
        <w:bottom w:val="none" w:sz="0" w:space="0" w:color="auto"/>
        <w:right w:val="none" w:sz="0" w:space="0" w:color="auto"/>
      </w:divBdr>
    </w:div>
    <w:div w:id="2107801106">
      <w:bodyDiv w:val="1"/>
      <w:marLeft w:val="0"/>
      <w:marRight w:val="0"/>
      <w:marTop w:val="0"/>
      <w:marBottom w:val="0"/>
      <w:divBdr>
        <w:top w:val="none" w:sz="0" w:space="0" w:color="auto"/>
        <w:left w:val="none" w:sz="0" w:space="0" w:color="auto"/>
        <w:bottom w:val="none" w:sz="0" w:space="0" w:color="auto"/>
        <w:right w:val="none" w:sz="0" w:space="0" w:color="auto"/>
      </w:divBdr>
    </w:div>
    <w:div w:id="2137411264">
      <w:bodyDiv w:val="1"/>
      <w:marLeft w:val="0"/>
      <w:marRight w:val="0"/>
      <w:marTop w:val="0"/>
      <w:marBottom w:val="0"/>
      <w:divBdr>
        <w:top w:val="none" w:sz="0" w:space="0" w:color="auto"/>
        <w:left w:val="none" w:sz="0" w:space="0" w:color="auto"/>
        <w:bottom w:val="none" w:sz="0" w:space="0" w:color="auto"/>
        <w:right w:val="none" w:sz="0" w:space="0" w:color="auto"/>
      </w:divBdr>
      <w:divsChild>
        <w:div w:id="187499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ing3dreco@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631</TotalTime>
  <Pages>7</Pages>
  <Words>2581</Words>
  <Characters>14196</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Jorge Alfredo Miranda Londoño</cp:lastModifiedBy>
  <cp:revision>23</cp:revision>
  <cp:lastPrinted>2026-04-07T05:00:00Z</cp:lastPrinted>
  <dcterms:created xsi:type="dcterms:W3CDTF">2026-03-29T02:49:00Z</dcterms:created>
  <dcterms:modified xsi:type="dcterms:W3CDTF">2026-04-30T04:31:00Z</dcterms:modified>
</cp:coreProperties>
</file>