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E1F2FD" w14:textId="2E3AAE67" w:rsidR="00457B2F" w:rsidRDefault="0062495E" w:rsidP="00445B80">
      <w:pPr>
        <w:ind w:left="720" w:right="-234"/>
        <w:jc w:val="center"/>
        <w:rPr>
          <w:rFonts w:ascii="Arial" w:eastAsia="Times New Roman" w:hAnsi="Arial" w:cs="Arial"/>
          <w:b/>
          <w:bCs/>
          <w:color w:val="000000"/>
          <w:lang w:val="es-CO" w:eastAsia="es-CO"/>
        </w:rPr>
      </w:pPr>
      <w:r>
        <w:rPr>
          <w:rFonts w:ascii="Arial" w:eastAsia="Times New Roman" w:hAnsi="Arial" w:cs="Arial"/>
          <w:b/>
          <w:bCs/>
          <w:color w:val="000000"/>
          <w:lang w:val="es-CO" w:eastAsia="es-CO"/>
        </w:rPr>
        <w:t>CONTRATO PROMESA DE COMPRAVENTA DE UN LOTE DE TERRENO</w:t>
      </w:r>
    </w:p>
    <w:p w14:paraId="1C41833B" w14:textId="77777777" w:rsidR="00A92BBA" w:rsidRPr="00A92BBA" w:rsidRDefault="00A92BBA" w:rsidP="00A92BBA">
      <w:pPr>
        <w:ind w:right="-234"/>
        <w:jc w:val="center"/>
        <w:rPr>
          <w:rFonts w:ascii="Arial" w:eastAsia="Times New Roman" w:hAnsi="Arial" w:cs="Arial"/>
          <w:b/>
          <w:bCs/>
          <w:color w:val="000000"/>
          <w:lang w:val="es-CO" w:eastAsia="es-CO"/>
        </w:rPr>
      </w:pPr>
    </w:p>
    <w:p w14:paraId="1DB25574" w14:textId="2F1FC506" w:rsidR="00A92BBA"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Conste por medio del presente instrumento el CONTRATO DE PROMESA DE COMPRAVENTA que celebran, de una parte, ING3DRECO SAS, sociedad comercial identificada con NIT 901580047-1, legalmente constituida conforme a las leyes colombianas, representada legalmente por ANDREA LIZETH CABRERA SUESCUN, colombiana, mayor de edad, domiciliada en Florencia (Caquetá), identificada con cédula de ciudadanía No. 1.127.388.759 expedida en Puerto Carreño (Vichada), quien actúa en calidad de Representante Legal del proyecto de urbanismo ARAGUATOS del Plan Parcial LAS MESITAS, parte que para los efectos de este contrato se denominará LA PROMITENTE VENDEDORA; y de otra parte, {{NOMBRE_COMPLETO}}, de nacionalidad {{NACIONALIDAD}}, mayor de edad, identificado/a con {{GENERO_ID}} {{CEDULA}} expedida en {{CIUDAD_EXP}}, de estado civil {{ESTADO_CIVIL}}, con domicilio en la ciudad de {{DOMICILIO}}, parte que se denominará {{TITULO_COMPRADOR}}. Las partes han celebrado el presente contrato de promesa de compraventa de conformidad con lo dispuesto en los artículos 1611, 1849 y siguientes del Código Civil y el artículo 905 del Código de Comercio, el cual se regirá por las siguientes cláusulas:</w:t>
      </w:r>
    </w:p>
    <w:p w14:paraId="78B22009" w14:textId="77777777"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PRIMERA: OBJETO</w:t>
      </w:r>
    </w:p>
    <w:p w14:paraId="40D1A71C" w14:textId="5CB541A4"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 PROMITENTE VENDEDORA se obliga a vender y transferir a favor de {{TITULO_COMPRADOR}}, a título de compraventa, el </w:t>
      </w:r>
      <w:r>
        <w:rPr>
          <w:rFonts w:ascii="Arial" w:eastAsia="Times New Roman" w:hAnsi="Arial" w:cs="Arial"/>
          <w:b/>
          <w:bCs/>
          <w:color w:val="000000"/>
          <w:lang w:val="es-CO" w:eastAsia="es-CO"/>
        </w:rPr>
        <w:t>Lote de Terreno No. {{LOTE_NUM}}</w:t>
      </w:r>
      <w:r>
        <w:rPr>
          <w:rFonts w:ascii="Arial" w:eastAsia="Times New Roman" w:hAnsi="Arial" w:cs="Arial"/>
          <w:color w:val="000000"/>
          <w:lang w:val="es-CO" w:eastAsia="es-CO"/>
        </w:rPr>
        <w:t xml:space="preserve"> de la </w:t>
      </w:r>
      <w:r>
        <w:rPr>
          <w:rFonts w:ascii="Arial" w:eastAsia="Times New Roman" w:hAnsi="Arial" w:cs="Arial"/>
          <w:b/>
          <w:bCs/>
          <w:color w:val="000000"/>
          <w:lang w:val="es-CO" w:eastAsia="es-CO"/>
        </w:rPr>
        <w:t>Manzana {{MANZANA}}</w:t>
      </w:r>
      <w:r>
        <w:rPr>
          <w:rFonts w:ascii="Arial" w:eastAsia="Times New Roman" w:hAnsi="Arial" w:cs="Arial"/>
          <w:color w:val="000000"/>
          <w:lang w:val="es-CO" w:eastAsia="es-CO"/>
        </w:rPr>
        <w:t>, con un área aproximada de {{AREA_TEXTO}} ({{AREA_M2}} m²), el cual hace parte de un predio de mayor extensión distinguido con la Matrícula Inmobiliaria Número 420-133218 y ficha catastral Número 00-03-0003-0132-000, cuyos linderos específicos son: por el NORTE, en extensión de {{NORTE_DIST}} con {{NORTE_DESC}}; por el SUR, en extensión de {{SUR_DIST}} con {{SUR_DESC}}; por el ESTE, en extensión de {{ESTE_DIST}} con {{ESTE_DESC}}; y por el OESTE, en extensión de {{OESTE_DIST}} con {{OESTE_DESC}}. No obstante, la alinderación descrita, la venta se realiza como cuerpo cierto de conformidad con el artículo 1887 del Código Civil.</w:t>
      </w:r>
    </w:p>
    <w:p w14:paraId="630BB1D6" w14:textId="6DD5EA14" w:rsidR="00A92BBA"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 – Naturaleza del predio y proceso de subdivisión catastral</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 xml:space="preserve">El predio de mayor extensión del cual hace parte el lote objeto del presente contrato corresponde a una escritura global que se encuentra en proceso de urbanización bajo el Plan Parcial Las Mesitas. En cumplimiento de la normativa catastral y urbanística vigente, la individualización del lote mediante apertura de matrícula inmobiliaria propia y asignación de ficha catastral individual </w:t>
        <w:lastRenderedPageBreak/>
        <w:t>se realizará en el marco del proceso de subdivisión predial que adelantará LA PROMITENTE VENDEDORA ante las autoridades competentes, como condición previa a la suscripción de la escritura pública individual de compraventa. Lo anterior es de conocimiento pleno de {{TITULO_COMPRADOR}}, quien acepta expresamente esta circunstancia y las condiciones de plazo pactadas en la Cláusula Tercera.</w:t>
      </w:r>
    </w:p>
    <w:p w14:paraId="41028F2E" w14:textId="77777777"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SEGUNDA: PRECIO Y FORMA DE PAGO</w:t>
      </w:r>
    </w:p>
    <w:p w14:paraId="644D0E26" w14:textId="10FAC4DC" w:rsidR="00121216"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El precio de la venta prometida es de </w:t>
      </w:r>
      <w:r>
        <w:rPr>
          <w:rFonts w:ascii="Arial" w:eastAsia="Times New Roman" w:hAnsi="Arial" w:cs="Arial"/>
          <w:b/>
          <w:bCs/>
          <w:color w:val="000000"/>
          <w:lang w:val="es-CO" w:eastAsia="es-CO"/>
        </w:rPr>
        <w:t>{{PRECIO_TEXTO}}</w:t>
      </w:r>
      <w:r>
        <w:rPr>
          <w:rFonts w:ascii="Arial" w:eastAsia="Times New Roman" w:hAnsi="Arial" w:cs="Arial"/>
          <w:color w:val="000000"/>
          <w:lang w:val="es-CO" w:eastAsia="es-CO"/>
        </w:rPr>
        <w:t xml:space="preserve"> </w:t>
      </w:r>
      <w:r>
        <w:rPr>
          <w:rFonts w:ascii="Arial" w:eastAsia="Times New Roman" w:hAnsi="Arial" w:cs="Arial"/>
          <w:b/>
          <w:bCs/>
          <w:color w:val="000000"/>
          <w:lang w:val="es-CO" w:eastAsia="es-CO"/>
        </w:rPr>
        <w:t>($</w:t>
      </w:r>
      <w:r>
        <w:rPr>
          <w:rFonts w:ascii="Arial" w:eastAsia="Times New Roman" w:hAnsi="Arial" w:cs="Arial"/>
          <w:color w:val="000000"/>
          <w:lang w:val="es-CO" w:eastAsia="es-CO"/>
        </w:rPr>
        <w:t xml:space="preserve">{{PRECIO_NUM}}) moneda corriente, que {{TITULO_COMPRADOR}} pagará a LA PROMITENTE VENDEDORA así:  </w:t>
      </w:r>
    </w:p>
    <w:p w14:paraId="553B8DF9" w14:textId="2AB47D64" w:rsidR="00563A95" w:rsidRPr="00A92BBA" w:rsidRDefault="00581297"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lang w:val="es-CO" w:eastAsia="es-CO"/>
        </w:rPr>
        <w:t>De contado {{PAGO_TIPO}}</w:t>
      </w:r>
      <w:r>
        <w:rPr>
          <w:rFonts w:ascii="Arial" w:eastAsia="Times New Roman" w:hAnsi="Arial" w:cs="Arial"/>
          <w:color w:val="000000"/>
          <w:lang w:val="es-CO" w:eastAsia="es-CO"/>
        </w:rPr>
        <w:t xml:space="preserve"> / </w:t>
      </w:r>
      <w:r>
        <w:rPr>
          <w:rFonts w:ascii="Arial" w:eastAsia="Times New Roman" w:hAnsi="Arial" w:cs="Arial"/>
          <w:b/>
          <w:bCs/>
          <w:i/>
          <w:iCs/>
          <w:color w:val="000000"/>
          <w:lang w:val="es-CO" w:eastAsia="es-CO"/>
        </w:rPr>
        <w:t>Financiado {{PAGO_TIPO_FIN}}</w:t>
      </w:r>
      <w:r>
        <w:rPr>
          <w:rFonts w:ascii="Arial" w:eastAsia="Times New Roman" w:hAnsi="Arial" w:cs="Arial"/>
          <w:color w:val="000000"/>
          <w:lang w:val="es-CO" w:eastAsia="es-CO"/>
        </w:rPr>
        <w:t xml:space="preserve"> así:</w:t>
      </w:r>
    </w:p>
    <w:p w14:paraId="002D472B" w14:textId="60DBED07" w:rsidR="00563A95" w:rsidRPr="00A92BBA" w:rsidRDefault="00563A95" w:rsidP="00A92BBA">
      <w:pPr>
        <w:pStyle w:val="Prrafodelista"/>
        <w:numPr>
          <w:ilvl w:val="0"/>
          <w:numId w:val="3"/>
        </w:numPr>
        <w:ind w:left="0" w:right="-234" w:hanging="426"/>
        <w:jc w:val="both"/>
        <w:rPr>
          <w:rFonts w:ascii="Arial" w:eastAsia="Times New Roman" w:hAnsi="Arial" w:cs="Arial"/>
          <w:color w:val="000000"/>
          <w:lang w:val="es-CO" w:eastAsia="es-CO"/>
        </w:rPr>
      </w:pPr>
      <w:r>
        <w:rPr>
          <w:rFonts w:ascii="Arial" w:eastAsia="Times New Roman" w:hAnsi="Arial" w:cs="Arial"/>
          <w:color w:val="000000"/>
          <w:lang w:val="es-CO" w:eastAsia="es-CO"/>
        </w:rPr>
        <w:t>Una cuota inicial de {{CUOTA_INICIAL_T}} (${{CUOTA_INICIAL_N}}) moneda corriente, que se recibirá al momento de la firma del presente contrato, valor que LA PROMITENTE VENDEDORA declara recibir a entera satisfacción.</w:t>
      </w:r>
    </w:p>
    <w:p w14:paraId="7A9881C4" w14:textId="4E8A0F7B" w:rsidR="00563A95" w:rsidRDefault="00563A95" w:rsidP="00A92BBA">
      <w:pPr>
        <w:pStyle w:val="Prrafodelista"/>
        <w:numPr>
          <w:ilvl w:val="0"/>
          <w:numId w:val="3"/>
        </w:numPr>
        <w:ind w:left="0" w:right="-234" w:hanging="426"/>
        <w:jc w:val="both"/>
        <w:rPr>
          <w:rFonts w:ascii="Arial" w:eastAsia="Times New Roman" w:hAnsi="Arial" w:cs="Arial"/>
          <w:color w:val="000000"/>
          <w:lang w:val="es-CO" w:eastAsia="es-CO"/>
        </w:rPr>
      </w:pPr>
      <w:r>
        <w:rPr>
          <w:rFonts w:ascii="Arial" w:eastAsia="Times New Roman" w:hAnsi="Arial" w:cs="Arial"/>
          <w:color w:val="000000"/>
          <w:lang w:val="es-CO" w:eastAsia="es-CO"/>
        </w:rPr>
        <w:t>El saldo restante de {{SALDO_T}} (${{SALDO_N}}), pagadero en {{NUM_CUOTAS}} cuotas mensuales iguales de {{VALOR_CUOTA_T}} (${{VALOR_CUOTA_N}}) cada una, y una cuota final de {{CUOTA_FINAL_T}} (${{CUOTA_FINAL_N}}), pagaderas a partir del día {{FECHA_INICIO_P}}.</w:t>
      </w:r>
    </w:p>
    <w:p w14:paraId="2180C6EA" w14:textId="77777777" w:rsidR="00A92BBA" w:rsidRPr="00A92BBA" w:rsidRDefault="00A92BBA" w:rsidP="00A92BBA">
      <w:pPr>
        <w:pStyle w:val="Prrafodelista"/>
        <w:ind w:left="0" w:right="-234"/>
        <w:jc w:val="both"/>
        <w:rPr>
          <w:rFonts w:ascii="Arial" w:eastAsia="Times New Roman" w:hAnsi="Arial" w:cs="Arial"/>
          <w:color w:val="000000"/>
          <w:lang w:val="es-CO" w:eastAsia="es-CO"/>
        </w:rPr>
      </w:pPr>
    </w:p>
    <w:p w14:paraId="3E9ED7BC" w14:textId="77777777" w:rsidR="00665CAF" w:rsidRPr="00665CAF" w:rsidRDefault="00563A95" w:rsidP="00665CAF">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TERCERA: PLAZO Y CONDICIONES PARA LA ESCRITURACIÓN</w:t>
      </w:r>
    </w:p>
    <w:p w14:paraId="6EC72E19" w14:textId="6FA5E991" w:rsidR="00665CAF" w:rsidRDefault="00665C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Las partes acuerdan que la suscripción de la escritura pública individual de compraventa en la Notaría Segunda del Círculo de Florencia se realizará una vez se cumplan concurrentemente las siguientes condiciones: (1) que {{TITULO_COMPRADOR}} haya cancelado la totalidad del precio pactado en la Cláusula Segunda; (2) que el proyecto urbanístico ARAGUATOS cuente con las redes de servicios públicos de acueducto, alcantarillado y energía debidamente construidas y habilitadas para la prestación del servicio; y (3) que {{TITULO_COMPRADOR}} acredite mediante documento idóneo estar a paz y salvo por concepto de impuesto predial unificado y demás contribuciones municipales que le hayan correspondido sobre el lote a partir de la asignación de su ficha catastral individual, conforme a lo dispuesto en la Cláusula Sexta. La existencia de deudas tributarias municipales a cargo de {{TITULO_COMPRADOR}} impedirá la escrituración y no </w:t>
        <w:lastRenderedPageBreak/>
        <w:t>constituirá incumplimiento imputable a LA PROMITENTE VENDEDORA, ni dará lugar a la aplicación de cláusula penal en su contra.</w:t>
      </w:r>
    </w:p>
    <w:p w14:paraId="18A174AE" w14:textId="77777777" w:rsidR="00245C65" w:rsidRDefault="00245C65" w:rsidP="00245C65">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{#INCLUIR_PARRAFO}</w:t>
      </w:r>
    </w:p>
    <w:p w14:paraId="18A174AA" w14:textId="77777777" w:rsidR="00245C65" w:rsidRDefault="00245C65" w:rsidP="00245C65">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PARÁGRAFO: LA PROMITENTE VENDEDORA se obliga a adelantar, gestionar y ejecutar las obras de urbanismo correspondientes al proyecto ARAGUATOS, así como los trámites de subdivisión predial, individualización catastral y demás gestiones ante las autoridades competentes, dentro de un plazo máximo de cinco (5) años contados a partir de la suscripción del presente contrato. Este plazo se establece como término estimado para la consolidación urbanística del proyecto y habilitación plena para la escrituración individual de los lotes; sin perjuicio de prórrogas por causas ajenas a la voluntad de LA PROMITENTE VENDEDORA, tales como trámites administrativos, licencias, fuerza mayor o caso fortuito.</w:t>
      </w:r>
    </w:p>
    <w:p w14:paraId="18A174AB" w14:textId="77777777" w:rsidR="00245C65" w:rsidRDefault="00245C65" w:rsidP="00245C65">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{/INCLUIR_PARRAFO}</w:t>
      </w:r>
    </w:p>
    <w:p w14:paraId="4BC8D9C5" w14:textId="42089701"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CUARTA: PRÓRROGAS Y MODIFICACIONES DEL PLAZO</w:t>
      </w:r>
    </w:p>
    <w:p w14:paraId="7357366D" w14:textId="77777777"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El término para el cumplimiento de las obligaciones derivadas del presente contrato solo podrá ser prorrogado mediante acuerdo mutuo, expreso y escrito de las partes, formalizado a través de un Otrosí o cláusula adicional suscrita por ambos prometientes, con una antelación no inferior a dos (2) días hábiles a la fecha inicialmente pactada para la firma de la escritura.</w:t>
      </w:r>
    </w:p>
    <w:p w14:paraId="73CFE7F5" w14:textId="47B723AE"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w:t>
      </w:r>
      <w:r>
        <w:rPr>
          <w:rFonts w:ascii="Arial" w:eastAsia="Times New Roman" w:hAnsi="Arial" w:cs="Arial"/>
          <w:b/>
          <w:bCs/>
          <w:color w:val="000000"/>
          <w:sz w:val="20"/>
          <w:szCs w:val="20"/>
          <w:lang w:val="es-CO" w:eastAsia="es-CO"/>
        </w:rPr>
        <w:t>:</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En ausencia del documento escrito y debidamente suscrito, se entenderá que no existe prórroga alguna, y el incumplimiento de la fecha señalada dará lugar a la aplicación de la cláusula penal y a las acciones legales de resolución de contrato contempladas en los artículos 1546 y 1602 del Código Civil.</w:t>
      </w:r>
    </w:p>
    <w:p w14:paraId="0A02A5A8" w14:textId="77777777"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QUINTA: GASTOS DE ESCRITURACIÓN</w:t>
      </w:r>
    </w:p>
    <w:p w14:paraId="09098D9A" w14:textId="139E67CA" w:rsidR="00A92BBA" w:rsidRPr="00A92BBA" w:rsidRDefault="00665CAF"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Los gastos que se ocasionen con motivo de la suscripción de la escritura pública de compraventa se distribuirán así: Los derechos notariales, si el precio total fue cancelado de contado conforme a la Cláusula Segunda, serán asumidos en partes iguales entre las partes; si el precio fue cancelado mediante financiación, la totalidad de los derechos notariales será asumida por {{TITULO_COMPRADOR}}. Los demás impuestos y cargas derivados de la transferencia y registro del inmueble a nombre de {{TITULO_COMPRADOR}} serán asumidos por {{ESTE_A}}.</w:t>
      </w:r>
    </w:p>
    <w:p w14:paraId="02DBF055" w14:textId="6D7DC87E"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SEXTA: OBLIGACIONES TRIBUTARIAS MUNICIPALES Y CATASTRALES</w:t>
      </w:r>
    </w:p>
    <w:p w14:paraId="5B2C8433" w14:textId="257BF96E" w:rsidR="00121216"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Las partes acuerdan expresamente que {{TITULO_COMPRADOR}} asumirá a su cargo el pago de la totalidad de los impuestos municipales que recaigan sobre el lote objeto del presente contrato (en particular el impuesto predial unificado y las contribuciones de valorización que se generen) a partir de la fecha en que se le asigne ficha catastral individual </w:t>
        <w:lastRenderedPageBreak/>
        <w:t>al lote, con independencia de que la escrituración se haya perfeccionado o no en dicho momento.</w:t>
      </w:r>
    </w:p>
    <w:p w14:paraId="69111225" w14:textId="22B130F4"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 PRIMERO</w:t>
      </w:r>
      <w:r>
        <w:rPr>
          <w:rFonts w:ascii="Arial" w:eastAsia="Times New Roman" w:hAnsi="Arial" w:cs="Arial"/>
          <w:color w:val="000000"/>
          <w:sz w:val="20"/>
          <w:szCs w:val="20"/>
          <w:lang w:val="es-CO" w:eastAsia="es-CO"/>
        </w:rPr>
        <w:t xml:space="preserve"> </w:t>
      </w:r>
      <w:r>
        <w:rPr>
          <w:rFonts w:ascii="Arial" w:eastAsia="Times New Roman" w:hAnsi="Arial" w:cs="Arial"/>
          <w:b/>
          <w:bCs/>
          <w:color w:val="000000"/>
          <w:sz w:val="20"/>
          <w:szCs w:val="20"/>
          <w:lang w:val="es-CO" w:eastAsia="es-CO"/>
        </w:rPr>
        <w:t>–</w:t>
      </w:r>
      <w:r>
        <w:rPr>
          <w:rFonts w:ascii="Arial" w:eastAsia="Times New Roman" w:hAnsi="Arial" w:cs="Arial"/>
          <w:color w:val="000000"/>
          <w:sz w:val="20"/>
          <w:szCs w:val="20"/>
          <w:lang w:val="es-CO" w:eastAsia="es-CO"/>
        </w:rPr>
        <w:t xml:space="preserve"> </w:t>
      </w:r>
      <w:r>
        <w:rPr>
          <w:rFonts w:ascii="Arial" w:eastAsia="Times New Roman" w:hAnsi="Arial" w:cs="Arial"/>
          <w:b/>
          <w:bCs/>
          <w:i/>
          <w:iCs/>
          <w:color w:val="000000"/>
          <w:sz w:val="20"/>
          <w:szCs w:val="20"/>
          <w:lang w:val="es-CO" w:eastAsia="es-CO"/>
        </w:rPr>
        <w:t>Proceso de formación catastral</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En razón de que el predio de mayor extensión proviene de una escritura global y se encuentra en proceso de urbanización bajo el Plan Parcial Las Mesitas, la asignación de ficha catastral individual a cada lote se producirá como resultado del trámite de subdivisión predial que adelantará LA PROMITENTE VENDEDORA ante el IGAC o la entidad catastral delegada. Desde el momento en que al lote objeto de este contrato le sea asignada ficha catastral individual, {{TITULO_COMPRADOR}} asumirá como propia la carga tributaria municipal que recaiga sobre dicho lote, con independencia de la fecha en que se suscriba la escritura pública. LA PROMITENTE VENDEDORA notificará a {{TITULO_COMPRADOR}} por escrito dentro de los diez (10) días hábiles siguientes a la asignación de la ficha catastral.</w:t>
      </w:r>
    </w:p>
    <w:p w14:paraId="4EF20024" w14:textId="2A5B6C09"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 SEGUNDO – Reembolso del predial pagado por LA PROMITENTE VENDEDORA:</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En el evento en que, por razones del proceso de facturación municipal, el impuesto predial del lote sea liquidado inicialmente a nombre de LA PROMITENTE VENDEDORA con posterioridad a la asignación de la ficha catastral individual, {{TITULO_COMPRADOR}} se obliga a reembolsar a LA PROMITENTE VENDEDORA el valor proporcional que corresponda al lote objeto de este contrato, dentro de los treinta (30) días calendario siguientes al requerimiento escrito acompañado del recibo de pago respectivo. El incumplimiento de esta obligación de reembolso generará los mismos intereses de mora previstos en la Cláusula Séptima del presente contrato.</w:t>
      </w:r>
    </w:p>
    <w:p w14:paraId="3611AAFB" w14:textId="5CC7B79E" w:rsidR="00A92BBA"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 TERCERO – Paz y salvo tributario como requisito para la escrituración:</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La suscripción de la escritura pública de compraventa individual estará condicionada, además de los requisitos previstos en la Cláusula Tercera, a que {{TITULO_COMPRADOR}} acredite mediante documento idóneo (paz y salvo municipal o certificado de no deudor) estar al día en el pago de todos los impuestos prediales y contribuciones de valorización que le hayan correspondido sobre el lote a partir de la asignación de la ficha catastral individual. La existencia de deudas tributarias municipales a cargo de {{TITULO_COMPRADOR}} sobre el lote impedirá la escrituración y no constituirá incumplimiento imputable a LA PROMITENTE VENDEDORA, ni dará lugar a la aplicación de la cláusula penal en su contra.</w:t>
      </w:r>
    </w:p>
    <w:p w14:paraId="3D65789A" w14:textId="78D07825" w:rsidR="00D70DAF"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 CUARTO – Período anterior a la ficha catastral individual</w:t>
      </w:r>
      <w:r>
        <w:rPr>
          <w:rFonts w:ascii="Arial" w:eastAsia="Times New Roman" w:hAnsi="Arial" w:cs="Arial"/>
          <w:b/>
          <w:bCs/>
          <w:i/>
          <w:iCs/>
          <w:color w:val="000000"/>
          <w:lang w:val="es-CO" w:eastAsia="es-CO"/>
        </w:rPr>
        <w:t>:</w:t>
      </w:r>
      <w:r>
        <w:rPr>
          <w:rFonts w:ascii="Arial" w:eastAsia="Times New Roman" w:hAnsi="Arial" w:cs="Arial"/>
          <w:color w:val="000000"/>
          <w:lang w:val="es-CO" w:eastAsia="es-CO"/>
        </w:rPr>
        <w:t xml:space="preserve"> Antes de la asignación de ficha catastral individual al lote, el impuesto predial del predio global continuará siendo </w:t>
        <w:lastRenderedPageBreak/>
        <w:t>responsabilidad exclusiva de LA PROMITENTE VENDEDORA, sin que {{TITULO_COMPRADOR}} tenga obligación de contribuir a su pago durante dicho período.</w:t>
      </w:r>
    </w:p>
    <w:p w14:paraId="6241A5A1" w14:textId="3F0066DB"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 xml:space="preserve">SÉPTIMA: CLÁUSULA PENAL POR INCUMPLIMIENTO </w:t>
      </w:r>
    </w:p>
    <w:p w14:paraId="68CF69FB" w14:textId="77777777" w:rsidR="00D70DAF" w:rsidRDefault="00665C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Las sumas pagadas por {{TITULO_COMPRADOR}} durante la vigencia del presente contrato tendrán naturaleza de arras penitenciales conforme al artículo 1859 del Código Civil y constituyen estimación anticipada de perjuicios conforme al artículo 1592 ibidem. Las consecuencias económicas se regularán de manera diferenciada según el evento que origine la terminación:</w:t>
      </w:r>
    </w:p>
    <w:p w14:paraId="2F78400A" w14:textId="29637D6C" w:rsidR="00665CAF" w:rsidRPr="00665CAF" w:rsidRDefault="00665CAF" w:rsidP="00665CAF">
      <w:pPr>
        <w:ind w:right="-234"/>
        <w:jc w:val="both"/>
        <w:rPr>
          <w:rFonts w:ascii="Arial" w:eastAsia="Times New Roman" w:hAnsi="Arial" w:cs="Arial"/>
          <w:b/>
          <w:bCs/>
          <w:color w:val="000000"/>
          <w:sz w:val="20"/>
          <w:szCs w:val="20"/>
          <w:lang w:val="es-CO" w:eastAsia="es-CO"/>
        </w:rPr>
      </w:pPr>
      <w:r>
        <w:rPr>
          <w:rFonts w:ascii="Arial" w:eastAsia="Times New Roman" w:hAnsi="Arial" w:cs="Arial"/>
          <w:b/>
          <w:bCs/>
          <w:color w:val="000000"/>
          <w:sz w:val="20"/>
          <w:szCs w:val="20"/>
          <w:lang w:val="es-CO" w:eastAsia="es-CO"/>
        </w:rPr>
        <w:t>A. RETRACTO VOLUNTARIO DE {{TITULO_COMPRADOR}}.</w:t>
      </w:r>
    </w:p>
    <w:p w14:paraId="333D79DA" w14:textId="77777777" w:rsidR="00665CAF" w:rsidRPr="00665CAF" w:rsidRDefault="00665C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Se entenderá que hay retracto voluntario únicamente cuando {{TITULO_COMPRADOR}} notifique por escrito su decisión de no continuar con el contrato, encontrándose al día en la totalidad de sus obligaciones de pago a la fecha de dicha comunicación. En este caso, LA PROMITENTE VENDEDORA retendrá el veinte por ciento (20%) del total de las sumas efectivamente pagadas hasta la fecha del retracto, a título de arras penitenciales y cláusula penal compensatoria, y devolverá el ochenta por ciento (80%) restante dentro de los noventa (90) días calendario siguientes, una vez {{TITULO_COMPRADOR}} acredite estar al día en sus obligaciones tributarias conforme a la Cláusula Sexta.</w:t>
      </w:r>
    </w:p>
    <w:p w14:paraId="58787F34" w14:textId="77777777" w:rsidR="00665CAF" w:rsidRPr="00665CAF" w:rsidRDefault="00665CAF" w:rsidP="00665CAF">
      <w:pPr>
        <w:ind w:right="-234"/>
        <w:jc w:val="both"/>
        <w:rPr>
          <w:rFonts w:ascii="Arial" w:eastAsia="Times New Roman" w:hAnsi="Arial" w:cs="Arial"/>
          <w:b/>
          <w:bCs/>
          <w:color w:val="000000"/>
          <w:sz w:val="20"/>
          <w:szCs w:val="20"/>
          <w:lang w:val="es-CO" w:eastAsia="es-CO"/>
        </w:rPr>
      </w:pPr>
      <w:r>
        <w:rPr>
          <w:rFonts w:ascii="Arial" w:eastAsia="Times New Roman" w:hAnsi="Arial" w:cs="Arial"/>
          <w:b/>
          <w:bCs/>
          <w:color w:val="000000"/>
          <w:sz w:val="20"/>
          <w:szCs w:val="20"/>
          <w:lang w:val="es-CO" w:eastAsia="es-CO"/>
        </w:rPr>
        <w:t>B. INCUMPLIMIENTO DE {{TITULO_COMPRADOR}}.</w:t>
      </w:r>
    </w:p>
    <w:p w14:paraId="7363A046" w14:textId="77777777" w:rsidR="00D70DAF" w:rsidRDefault="00D70D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Se entenderá que hay incumplimiento cuando: (i) {{TITULO_COMPRADOR}} deje de pagar tres (3) cuotas mensuales consecutivas; o (ii) notifique su intención de no continuar con el contrato encontrándose en mora en una o más cuotas a la fecha de dicha comunicación. En cualquiera de estos eventos, quien incumple no podrá acogerse al régimen de retracto voluntario previsto en el literal A, independientemente de la denominación que le dé a su comunicación. Declarado el incumplimiento, LA PROMITENTE VENDEDORA quedará facultada para dar por terminado unilateralmente el presente contrato sin necesidad de requerimiento judicial, en ejercicio del pacto comisorio aquí consignado conforme a los artículos 1546 y 1592 del Código Civil. La totalidad de las sumas efectivamente pagadas por {{TITULO_COMPRADOR}} hasta la fecha de terminación quedarán en poder de LA PROMITENTE VENDEDORA a título de arras penitenciales y cláusula penal compensatoria, como retribución por el costo de oportunidad del lote, los gastos administrativos y comerciales incurridos y el lucro cesante generado durante el período en que el lote estuvo fuera del mercado, sin que haya lugar a devolución alguna. Las partes </w:t>
        <w:lastRenderedPageBreak/>
        <w:t>declaran que esta consecuencia fue libremente acordada y constituye una estimación razonable y anticipada de dichos perjuicios, conforme al artículo 1592 del Código Civil. Declarada la terminación, LA PROMITENTE VENDEDORA retomará la posesión inmediata del terreno y podrá disponer libremente de él, sin que {{TITULO_COMPRADOR}} pueda reclamar compensación por mejoras no necesarias.</w:t>
      </w:r>
    </w:p>
    <w:p w14:paraId="3B741A42" w14:textId="50089FF4" w:rsidR="00665CAF" w:rsidRPr="00665CAF" w:rsidRDefault="00665C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El incumplimiento en el pago de cuotas, transcurridos cinco (5) días calendario desde su vencimiento, generará adicionalmente a cargo de {{TITULO_COMPRADOR}} intereses de mora al máximo legal vigente certificado por la Superintendencia Financiera de Colombia, liquidados sobre el valor de la cuota en mora por cada día de retardo, sin perjuicio de la obligación principal.</w:t>
      </w:r>
    </w:p>
    <w:p w14:paraId="14DB43C5" w14:textId="77777777" w:rsidR="00665CAF" w:rsidRPr="00665CAF" w:rsidRDefault="00665CAF" w:rsidP="00665CAF">
      <w:pPr>
        <w:ind w:right="-234"/>
        <w:jc w:val="both"/>
        <w:rPr>
          <w:rFonts w:ascii="Arial" w:eastAsia="Times New Roman" w:hAnsi="Arial" w:cs="Arial"/>
          <w:b/>
          <w:bCs/>
          <w:color w:val="000000"/>
          <w:sz w:val="20"/>
          <w:szCs w:val="20"/>
          <w:lang w:val="es-CO" w:eastAsia="es-CO"/>
        </w:rPr>
      </w:pPr>
      <w:r>
        <w:rPr>
          <w:rFonts w:ascii="Arial" w:eastAsia="Times New Roman" w:hAnsi="Arial" w:cs="Arial"/>
          <w:b/>
          <w:bCs/>
          <w:color w:val="000000"/>
          <w:sz w:val="20"/>
          <w:szCs w:val="20"/>
          <w:lang w:val="es-CO" w:eastAsia="es-CO"/>
        </w:rPr>
        <w:t>C. INCUMPLIMIENTO O RETRACTO DE LA PROMITENTE VENDEDORA.</w:t>
      </w:r>
    </w:p>
    <w:p w14:paraId="3C561D51" w14:textId="77777777" w:rsidR="00665CAF" w:rsidRDefault="00665C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En caso de que LA PROMITENTE VENDEDORA se retracte o incumpla las obligaciones a su cargo que impidan la escrituración en los términos pactados, estará obligada a restituir a {{TITULO_COMPRADOR}} la totalidad de las sumas recibidas dentro de los noventa (90) días calendario siguientes al requerimiento escrito, sin perjuicio de la acción de cumplimiento forzado que pueda ejercer {{TITULO_COMPRADOR}} conforme a los artículos 1546 y 1610 del Código Civil.</w:t>
      </w:r>
    </w:p>
    <w:p w14:paraId="1121A6D6" w14:textId="0526CB69" w:rsidR="00A92BBA" w:rsidRPr="00A92BBA" w:rsidRDefault="00563A95"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LA PROMITENTE VENDEDORA se obliga a entregar el inmueble libre de limitaciones al dominio, gravámenes, condiciones resolutorias, pleitos pendientes o embargos hasta la fecha de la firma de la escritura pública. La entrega material y física del lote se realizará únicamente cuando {{TITULO_COMPRADOR}} haya cancelado la totalidad del precio pactado, el proyecto cuente con disponibilidad efectiva de los servicios públicos de acueducto, alcantarillado y energía, así como con los respectivos diseños urbanísticos, y {{TITULO_COMPRADOR}} haya aportado el soporte de pago del impuesto predial unificado y demás impuestos municipales a su cargo, conforme a lo dispuesto en la Cláusula Sexta del presente contrato. A partir de la entrega, {{TITULO_COMPRADOR}} se obliga a respetar los lineamientos arquitectónicos y de fachada definidos en el Reglamento de Construcción del Proyecto Araguatos. Este acuerdo constituye ley para las partes conforme al artículo 1602 del Código Civil, y su incumplimiento se regirá por el artículo 1546 ibidem.</w:t>
      </w:r>
    </w:p>
    <w:p w14:paraId="22845377" w14:textId="332162E4" w:rsidR="00563A95" w:rsidRPr="00A92BBA" w:rsidRDefault="00665CAF"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OCTAVA: CLÁUSULA COMPROMISORIA</w:t>
      </w:r>
    </w:p>
    <w:p w14:paraId="4CE2CF5A" w14:textId="2F047C6A" w:rsidR="00D70DAF"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Toda controversia o diferencia relativa a este contrato, su ejecución y liquidación, se resolverá por un Tribunal de Arbitramento designado por la Junta Directiva de la Cámara de Comercio de Florencia, mediante sorteo entre los árbitros inscritos en el Centro de Arbitraje y </w:t>
        <w:lastRenderedPageBreak/>
        <w:t>Conciliación Mercantil de dicha Cámara. El Tribunal se integrará por tres (3) árbitros, decidirá en derecho o en principios técnicos según corresponda conforme a la Ley 1563 de 2012 y demás normas concordantes, funcionando bajo las reglas del citado Centro. Una vez liquidado el contrato y recibida real y materialmente la unidad inmobiliaria, se entenderá por cumplido el objeto del presente instrumento.</w:t>
      </w:r>
    </w:p>
    <w:p w14:paraId="37089401" w14:textId="362B56D2" w:rsidR="00563A95" w:rsidRPr="00A92BBA" w:rsidRDefault="00665CAF"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NOVENA: NOTIFICACIONES Y DOMICILIO CONTRACTUAL</w:t>
      </w:r>
    </w:p>
    <w:p w14:paraId="5F22AB1A" w14:textId="5666021E"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Para todos los efectos legales derivados del presente contrato, las partes señalan como domicilio contractual la ciudad de Florencia, Caquetá. Cualquier comunicación se realizará a las direcciones físicas y correos electrónicos aquí consignados, aceptando el mensaje de datos como medio oficial y vinculante según la Ley 527 de 1999. LA PROMITENTE VENDEDORA recibirá notificaciones en la CRA 2 E # 15 A-12, Barrio Abbas Turbay, Florencia (Caquetá), correo electrónico ing3dreco@gmail.com, teléfono 3227590147. {{TITULO_COMPRADOR}} recibirá notificaciones en la dirección {{DIRECCION_COMP}}, correo {{CORREO_COMP}}, teléfono {{TELEFONO_COMP}}. Es obligación de cada parte informar cualquier cambio de datos por escrito con cinco (5) días de antelación; de lo contrario, las notificaciones enviadas a las direcciones aquí pactadas se entenderán válidamente surtidas de conformidad con el artículo 1602 del Código Civil.</w:t>
      </w:r>
    </w:p>
    <w:p w14:paraId="6C593CCB" w14:textId="06E3CB46" w:rsidR="0089260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Las partes manifiestan haber leído y entendido la totalidad de las cláusulas del presente contrato de promesa de compraventa, aceptando su contenido en su integridad y obligándose a su estricto cumplimiento conforme a la ley. Para constancia de lo anterior y como prueba de su libre voluntad, se firma en la ciudad de Florencia (Caquetá), el día {{FECHA_FIRMA}}, en dos (2) ejemplares del mismo tenor y valor, uno para cada parte, procediendo al reconocimiento de firmas y contenido ante autoridad notarial.</w:t>
      </w:r>
    </w:p>
    <w:tbl>
      <w:tblPr>
        <w:tblStyle w:val="Tablaconcuadrcula"/>
        <w:tblW w:w="991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245"/>
      </w:tblGrid>
      <w:tr w:rsidR="001417D4" w:rsidRPr="00A92BBA" w14:paraId="7D048E71" w14:textId="77777777" w:rsidTr="003E2682">
        <w:trPr>
          <w:trHeight w:val="70"/>
          <w:jc w:val="center"/>
        </w:trPr>
        <w:tc>
          <w:tcPr>
            <w:tcW w:w="4673" w:type="dxa"/>
            <w:vAlign w:val="center"/>
          </w:tcPr>
          <w:p w14:paraId="394BD97B" w14:textId="3FA652ED" w:rsidR="001417D4" w:rsidRPr="00A92BBA" w:rsidRDefault="001417D4" w:rsidP="00A92BBA">
            <w:pPr>
              <w:ind w:right="-234"/>
              <w:jc w:val="center"/>
              <w:rPr>
                <w:rFonts w:ascii="Arial" w:eastAsia="Times New Roman" w:hAnsi="Arial" w:cs="Arial"/>
                <w:b/>
                <w:bCs/>
                <w:color w:val="000000"/>
                <w:lang w:val="es-CO" w:eastAsia="es-CO"/>
              </w:rPr>
            </w:pPr>
            <w:r>
              <w:rPr>
                <w:rFonts w:ascii="Arial" w:eastAsia="Times New Roman" w:hAnsi="Arial" w:cs="Arial"/>
                <w:b/>
                <w:bCs/>
                <w:color w:val="000000"/>
                <w:lang w:val="es-CO" w:eastAsia="es-CO"/>
              </w:rPr>
              <w:t>LA PROMITENTE VENDEDORA</w:t>
            </w:r>
          </w:p>
        </w:tc>
        <w:tc>
          <w:tcPr>
            <w:tcW w:w="5245" w:type="dxa"/>
            <w:vAlign w:val="center"/>
          </w:tcPr>
          <w:p w14:paraId="2DE31E0C" w14:textId="0512FBE5" w:rsidR="001417D4" w:rsidRPr="00A92BBA" w:rsidRDefault="001417D4" w:rsidP="00A92BBA">
            <w:pPr>
              <w:ind w:right="-234"/>
              <w:jc w:val="center"/>
              <w:rPr>
                <w:rFonts w:ascii="Arial" w:eastAsia="Times New Roman" w:hAnsi="Arial" w:cs="Arial"/>
                <w:b/>
                <w:bCs/>
                <w:color w:val="000000"/>
                <w:lang w:val="es-CO" w:eastAsia="es-CO"/>
              </w:rPr>
            </w:pPr>
            <w:r>
              <w:rPr>
                <w:rFonts w:ascii="Arial" w:eastAsia="Times New Roman" w:hAnsi="Arial" w:cs="Arial"/>
                <w:b/>
                <w:bCs/>
                <w:color w:val="000000"/>
                <w:lang w:val="es-CO" w:eastAsia="es-CO"/>
              </w:rPr>
              <w:t>{{TITULO_COMPRADOR}}</w:t>
            </w:r>
          </w:p>
        </w:tc>
      </w:tr>
      <w:tr w:rsidR="001417D4" w:rsidRPr="00A92BBA" w14:paraId="29C636AE" w14:textId="77777777" w:rsidTr="003E2682">
        <w:trPr>
          <w:trHeight w:val="2167"/>
          <w:jc w:val="center"/>
        </w:trPr>
        <w:tc>
          <w:tcPr>
            <w:tcW w:w="4673" w:type="dxa"/>
            <w:vAlign w:val="center"/>
          </w:tcPr>
          <w:p w14:paraId="1F53AF49" w14:textId="5F451BF5" w:rsidR="00457B2F" w:rsidRPr="00A92BBA" w:rsidRDefault="00457B2F" w:rsidP="00A92BBA">
            <w:pPr>
              <w:ind w:right="-234"/>
              <w:rPr>
                <w:rFonts w:ascii="Arial" w:eastAsia="Times New Roman" w:hAnsi="Arial" w:cs="Arial"/>
                <w:color w:val="000000"/>
                <w:lang w:val="es-CO" w:eastAsia="es-CO"/>
              </w:rPr>
            </w:pPr>
          </w:p>
          <w:p w14:paraId="794E6E27" w14:textId="77777777" w:rsidR="003E2682" w:rsidRPr="00A92BBA" w:rsidRDefault="003E2682" w:rsidP="00A92BBA">
            <w:pPr>
              <w:ind w:right="-234"/>
              <w:rPr>
                <w:rFonts w:ascii="Arial" w:eastAsia="Times New Roman" w:hAnsi="Arial" w:cs="Arial"/>
                <w:color w:val="000000"/>
                <w:lang w:val="es-CO" w:eastAsia="es-CO"/>
              </w:rPr>
            </w:pPr>
          </w:p>
          <w:p w14:paraId="11CC1493" w14:textId="6D089ABE" w:rsidR="00457B2F" w:rsidRPr="00A92BBA" w:rsidRDefault="00457B2F" w:rsidP="00A92BBA">
            <w:pPr>
              <w:ind w:right="-234"/>
              <w:jc w:val="center"/>
              <w:rPr>
                <w:rFonts w:ascii="Arial" w:eastAsia="Times New Roman" w:hAnsi="Arial" w:cs="Arial"/>
                <w:color w:val="000000"/>
                <w:lang w:val="es-CO" w:eastAsia="es-CO"/>
              </w:rPr>
            </w:pPr>
          </w:p>
          <w:p w14:paraId="7E2556C4" w14:textId="77777777" w:rsidR="003E2682" w:rsidRPr="00A92BBA" w:rsidRDefault="003E2682" w:rsidP="00A92BBA">
            <w:pPr>
              <w:ind w:right="-234"/>
              <w:jc w:val="center"/>
              <w:rPr>
                <w:rFonts w:ascii="Arial" w:eastAsia="Times New Roman" w:hAnsi="Arial" w:cs="Arial"/>
                <w:color w:val="000000"/>
                <w:lang w:val="es-CO" w:eastAsia="es-CO"/>
              </w:rPr>
            </w:pPr>
          </w:p>
          <w:p w14:paraId="79415DCB" w14:textId="6318987D" w:rsidR="001417D4" w:rsidRPr="00A92BBA" w:rsidRDefault="00092AE4" w:rsidP="00A92BBA">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ANDREA LIZETH CABRERA SUESCUN</w:t>
            </w:r>
          </w:p>
          <w:p w14:paraId="5AAA1CA2" w14:textId="6F9F9346" w:rsidR="00244284" w:rsidRPr="00A92BBA" w:rsidRDefault="00244284" w:rsidP="00A92BBA">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CC.1.127.388.759</w:t>
            </w:r>
          </w:p>
          <w:p w14:paraId="08CA3291" w14:textId="14BCC195" w:rsidR="001417D4" w:rsidRPr="00A92BBA" w:rsidRDefault="001417D4" w:rsidP="00A92BBA">
            <w:pPr>
              <w:ind w:right="-234"/>
              <w:jc w:val="center"/>
              <w:rPr>
                <w:rFonts w:ascii="Arial" w:eastAsia="Times New Roman" w:hAnsi="Arial" w:cs="Arial"/>
                <w:i/>
                <w:iCs/>
                <w:color w:val="000000"/>
                <w:lang w:val="es-CO" w:eastAsia="es-CO"/>
              </w:rPr>
            </w:pPr>
            <w:r>
              <w:rPr>
                <w:rFonts w:ascii="Arial" w:eastAsia="Times New Roman" w:hAnsi="Arial" w:cs="Arial"/>
                <w:i/>
                <w:iCs/>
                <w:color w:val="000000"/>
                <w:lang w:val="es-CO" w:eastAsia="es-CO"/>
              </w:rPr>
              <w:t>ING3DRECO SAS</w:t>
            </w:r>
          </w:p>
          <w:p w14:paraId="32D98E52" w14:textId="285B2415" w:rsidR="001417D4" w:rsidRPr="00A92BBA" w:rsidRDefault="001417D4" w:rsidP="00A92BBA">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Cel.3227590147</w:t>
            </w:r>
          </w:p>
        </w:tc>
        <w:tc>
          <w:tcPr>
            <w:tcW w:w="5245" w:type="dxa"/>
            <w:vAlign w:val="center"/>
          </w:tcPr>
          <w:p w14:paraId="46A881A9" w14:textId="0BCA2EBB" w:rsidR="00457B2F" w:rsidRPr="00A92BBA" w:rsidRDefault="00457B2F" w:rsidP="00A92BBA">
            <w:pPr>
              <w:ind w:right="-234"/>
              <w:rPr>
                <w:rFonts w:ascii="Arial" w:eastAsia="Times New Roman" w:hAnsi="Arial" w:cs="Arial"/>
                <w:color w:val="000000"/>
                <w:lang w:val="es-CO" w:eastAsia="es-CO"/>
              </w:rPr>
            </w:pPr>
          </w:p>
          <w:p w14:paraId="666F84C3" w14:textId="50E4BA70" w:rsidR="003E2682" w:rsidRPr="00A92BBA" w:rsidRDefault="003E2682" w:rsidP="00A92BBA">
            <w:pPr>
              <w:ind w:right="-234"/>
              <w:rPr>
                <w:rFonts w:ascii="Arial" w:eastAsia="Times New Roman" w:hAnsi="Arial" w:cs="Arial"/>
                <w:color w:val="000000"/>
                <w:lang w:val="es-CO" w:eastAsia="es-CO"/>
              </w:rPr>
            </w:pPr>
          </w:p>
          <w:p w14:paraId="71D146A8" w14:textId="77777777" w:rsidR="003E2682" w:rsidRPr="00A92BBA" w:rsidRDefault="003E2682" w:rsidP="00A92BBA">
            <w:pPr>
              <w:ind w:right="-234"/>
              <w:rPr>
                <w:rFonts w:ascii="Arial" w:eastAsia="Times New Roman" w:hAnsi="Arial" w:cs="Arial"/>
                <w:color w:val="000000"/>
                <w:lang w:val="es-CO" w:eastAsia="es-CO"/>
              </w:rPr>
            </w:pPr>
          </w:p>
          <w:p w14:paraId="5D890E40" w14:textId="11A68AC6" w:rsidR="00244284" w:rsidRPr="00A92BBA" w:rsidRDefault="00244284" w:rsidP="00A92BBA">
            <w:pPr>
              <w:spacing w:before="240"/>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{{NOMBRE_COMPLETO}}</w:t>
            </w:r>
          </w:p>
          <w:p w14:paraId="476CF15D" w14:textId="4895ED4D" w:rsidR="001417D4" w:rsidRPr="00A92BBA" w:rsidRDefault="001417D4" w:rsidP="00A92BBA">
            <w:pPr>
              <w:spacing w:before="240"/>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C.C {{CC_COMPRADOR}}</w:t>
            </w:r>
          </w:p>
          <w:p w14:paraId="5F35B0A3" w14:textId="7B35FABF" w:rsidR="001417D4" w:rsidRPr="00A92BBA" w:rsidRDefault="001417D4" w:rsidP="00A92BBA">
            <w:pPr>
              <w:spacing w:before="240"/>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Cel. {{CEL_COMPRADOR}}</w:t>
            </w:r>
          </w:p>
        </w:tc>
      </w:tr>
    </w:tbl>
    <w:p w14:paraId="42D47C5E" w14:textId="77777777" w:rsidR="003E2682" w:rsidRPr="00A92BBA" w:rsidRDefault="003E2682" w:rsidP="00A92BBA">
      <w:pPr>
        <w:ind w:right="-234"/>
        <w:jc w:val="both"/>
        <w:rPr>
          <w:rFonts w:ascii="Arial" w:eastAsia="Times New Roman" w:hAnsi="Arial" w:cs="Arial"/>
          <w:color w:val="000000"/>
          <w:lang w:val="es-CO" w:eastAsia="es-CO"/>
        </w:rPr>
      </w:pPr>
    </w:p>
    <w:sectPr w:rsidR="003E2682" w:rsidRPr="00A92BBA" w:rsidSect="00D52074">
      <w:headerReference w:type="default" r:id="rId7"/>
      <w:footerReference w:type="default" r:id="rId8"/>
      <w:pgSz w:w="12240" w:h="15840"/>
      <w:pgMar w:top="1417" w:right="1701" w:bottom="1417" w:left="1701" w:header="680" w:footer="73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77BFB4" w14:textId="77777777" w:rsidR="00DD43B9" w:rsidRDefault="00DD43B9" w:rsidP="00BC328F">
      <w:pPr>
        <w:spacing w:after="0" w:line="240" w:lineRule="auto"/>
      </w:pPr>
      <w:r>
        <w:separator/>
      </w:r>
    </w:p>
  </w:endnote>
  <w:endnote w:type="continuationSeparator" w:id="0">
    <w:p w14:paraId="438EADA5" w14:textId="77777777" w:rsidR="00DD43B9" w:rsidRDefault="00DD43B9" w:rsidP="00BC32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8791AA" w14:textId="097CF1A4" w:rsidR="007D51E3" w:rsidRDefault="007D51E3" w:rsidP="007D51E3">
    <w:pPr>
      <w:pStyle w:val="Piedepgina"/>
      <w:rPr>
        <w:rFonts w:ascii="Bookman Old Style" w:hAnsi="Bookman Old Style"/>
        <w:lang w:val="es-CO"/>
      </w:rPr>
    </w:pPr>
  </w:p>
  <w:p w14:paraId="5BDD38B6" w14:textId="5FCCDF04" w:rsidR="007D51E3" w:rsidRDefault="007D51E3" w:rsidP="007D51E3">
    <w:pPr>
      <w:pStyle w:val="Piedepgina"/>
      <w:rPr>
        <w:rFonts w:ascii="Bookman Old Style" w:hAnsi="Bookman Old Style"/>
        <w:lang w:val="es-CO"/>
      </w:rPr>
    </w:pPr>
  </w:p>
  <w:p w14:paraId="2B25241F" w14:textId="1F0BD319" w:rsidR="007D51E3" w:rsidRDefault="007D51E3" w:rsidP="007D51E3">
    <w:pPr>
      <w:pStyle w:val="Piedepgina"/>
      <w:rPr>
        <w:rFonts w:ascii="Bookman Old Style" w:hAnsi="Bookman Old Style"/>
        <w:lang w:val="es-CO"/>
      </w:rPr>
    </w:pPr>
  </w:p>
  <w:p w14:paraId="74277082" w14:textId="380814FA" w:rsidR="007D51E3" w:rsidRPr="00D52074" w:rsidRDefault="00D52074" w:rsidP="00664571">
    <w:pPr>
      <w:pStyle w:val="Piedepgina"/>
      <w:jc w:val="center"/>
      <w:rPr>
        <w:rFonts w:ascii="Bookman Old Style" w:hAnsi="Bookman Old Style"/>
        <w:color w:val="767171" w:themeColor="background2" w:themeShade="80"/>
        <w:sz w:val="18"/>
        <w:szCs w:val="18"/>
        <w:lang w:val="es-CO"/>
      </w:rPr>
    </w:pPr>
    <w:r w:rsidRPr="00D52074">
      <w:rPr>
        <w:rFonts w:ascii="Bookman Old Style" w:hAnsi="Bookman Old Style"/>
        <w:color w:val="767171" w:themeColor="background2" w:themeShade="80"/>
        <w:sz w:val="18"/>
        <w:szCs w:val="18"/>
        <w:lang w:val="es-ES"/>
      </w:rPr>
      <w:t xml:space="preserve">Página </w:t>
    </w:r>
    <w:r w:rsidRPr="00D52074">
      <w:rPr>
        <w:rFonts w:ascii="Bookman Old Style" w:hAnsi="Bookman Old Style"/>
        <w:b/>
        <w:bCs/>
        <w:color w:val="767171" w:themeColor="background2" w:themeShade="80"/>
        <w:sz w:val="18"/>
        <w:szCs w:val="18"/>
        <w:lang w:val="es-CO"/>
      </w:rPr>
      <w:fldChar w:fldCharType="begin"/>
    </w:r>
    <w:r w:rsidRPr="00D52074">
      <w:rPr>
        <w:rFonts w:ascii="Bookman Old Style" w:hAnsi="Bookman Old Style"/>
        <w:b/>
        <w:bCs/>
        <w:color w:val="767171" w:themeColor="background2" w:themeShade="80"/>
        <w:sz w:val="18"/>
        <w:szCs w:val="18"/>
        <w:lang w:val="es-CO"/>
      </w:rPr>
      <w:instrText>PAGE  \* Arabic  \* MERGEFORMAT</w:instrText>
    </w:r>
    <w:r w:rsidRPr="00D52074">
      <w:rPr>
        <w:rFonts w:ascii="Bookman Old Style" w:hAnsi="Bookman Old Style"/>
        <w:b/>
        <w:bCs/>
        <w:color w:val="767171" w:themeColor="background2" w:themeShade="80"/>
        <w:sz w:val="18"/>
        <w:szCs w:val="18"/>
        <w:lang w:val="es-CO"/>
      </w:rPr>
      <w:fldChar w:fldCharType="separate"/>
    </w:r>
    <w:r w:rsidRPr="00D52074">
      <w:rPr>
        <w:rFonts w:ascii="Bookman Old Style" w:hAnsi="Bookman Old Style"/>
        <w:b/>
        <w:bCs/>
        <w:color w:val="767171" w:themeColor="background2" w:themeShade="80"/>
        <w:sz w:val="18"/>
        <w:szCs w:val="18"/>
        <w:lang w:val="es-ES"/>
      </w:rPr>
      <w:t>1</w:t>
    </w:r>
    <w:r w:rsidRPr="00D52074">
      <w:rPr>
        <w:rFonts w:ascii="Bookman Old Style" w:hAnsi="Bookman Old Style"/>
        <w:b/>
        <w:bCs/>
        <w:color w:val="767171" w:themeColor="background2" w:themeShade="80"/>
        <w:sz w:val="18"/>
        <w:szCs w:val="18"/>
        <w:lang w:val="es-CO"/>
      </w:rPr>
      <w:fldChar w:fldCharType="end"/>
    </w:r>
    <w:r w:rsidRPr="00D52074">
      <w:rPr>
        <w:rFonts w:ascii="Bookman Old Style" w:hAnsi="Bookman Old Style"/>
        <w:color w:val="767171" w:themeColor="background2" w:themeShade="80"/>
        <w:sz w:val="18"/>
        <w:szCs w:val="18"/>
        <w:lang w:val="es-ES"/>
      </w:rPr>
      <w:t xml:space="preserve"> de </w:t>
    </w:r>
    <w:r w:rsidRPr="00D52074">
      <w:rPr>
        <w:rFonts w:ascii="Bookman Old Style" w:hAnsi="Bookman Old Style"/>
        <w:b/>
        <w:bCs/>
        <w:color w:val="767171" w:themeColor="background2" w:themeShade="80"/>
        <w:sz w:val="18"/>
        <w:szCs w:val="18"/>
        <w:lang w:val="es-CO"/>
      </w:rPr>
      <w:fldChar w:fldCharType="begin"/>
    </w:r>
    <w:r w:rsidRPr="00D52074">
      <w:rPr>
        <w:rFonts w:ascii="Bookman Old Style" w:hAnsi="Bookman Old Style"/>
        <w:b/>
        <w:bCs/>
        <w:color w:val="767171" w:themeColor="background2" w:themeShade="80"/>
        <w:sz w:val="18"/>
        <w:szCs w:val="18"/>
        <w:lang w:val="es-CO"/>
      </w:rPr>
      <w:instrText>NUMPAGES  \* Arabic  \* MERGEFORMAT</w:instrText>
    </w:r>
    <w:r w:rsidRPr="00D52074">
      <w:rPr>
        <w:rFonts w:ascii="Bookman Old Style" w:hAnsi="Bookman Old Style"/>
        <w:b/>
        <w:bCs/>
        <w:color w:val="767171" w:themeColor="background2" w:themeShade="80"/>
        <w:sz w:val="18"/>
        <w:szCs w:val="18"/>
        <w:lang w:val="es-CO"/>
      </w:rPr>
      <w:fldChar w:fldCharType="separate"/>
    </w:r>
    <w:r w:rsidRPr="00D52074">
      <w:rPr>
        <w:rFonts w:ascii="Bookman Old Style" w:hAnsi="Bookman Old Style"/>
        <w:b/>
        <w:bCs/>
        <w:color w:val="767171" w:themeColor="background2" w:themeShade="80"/>
        <w:sz w:val="18"/>
        <w:szCs w:val="18"/>
        <w:lang w:val="es-ES"/>
      </w:rPr>
      <w:t>2</w:t>
    </w:r>
    <w:r w:rsidRPr="00D52074">
      <w:rPr>
        <w:rFonts w:ascii="Bookman Old Style" w:hAnsi="Bookman Old Style"/>
        <w:b/>
        <w:bCs/>
        <w:color w:val="767171" w:themeColor="background2" w:themeShade="80"/>
        <w:sz w:val="18"/>
        <w:szCs w:val="18"/>
        <w:lang w:val="es-CO"/>
      </w:rPr>
      <w:fldChar w:fldCharType="end"/>
    </w:r>
  </w:p>
  <w:p w14:paraId="27577DC8" w14:textId="17E26454" w:rsidR="007D51E3" w:rsidRDefault="007D51E3" w:rsidP="00664571">
    <w:pPr>
      <w:pStyle w:val="Piedepgina"/>
      <w:jc w:val="center"/>
      <w:rPr>
        <w:rFonts w:ascii="Bookman Old Style" w:hAnsi="Bookman Old Style"/>
        <w:lang w:val="es-CO"/>
      </w:rPr>
    </w:pPr>
  </w:p>
  <w:p w14:paraId="6D9C403A" w14:textId="28D66D03" w:rsidR="001A4A5C" w:rsidRPr="001A4A5C" w:rsidRDefault="001A4A5C" w:rsidP="00664571">
    <w:pPr>
      <w:pStyle w:val="Piedepgina"/>
      <w:jc w:val="center"/>
      <w:rPr>
        <w:rFonts w:ascii="Bookman Old Style" w:hAnsi="Bookman Old Style"/>
        <w:lang w:val="es-CO"/>
      </w:rPr>
    </w:pPr>
    <w:r w:rsidRPr="001A4A5C">
      <w:rPr>
        <w:rFonts w:ascii="Bookman Old Style" w:hAnsi="Bookman Old Style"/>
        <w:lang w:val="es-CO"/>
      </w:rPr>
      <w:t xml:space="preserve">Dirección: </w:t>
    </w:r>
    <w:bookmarkStart w:id="1" w:name="_Hlk224335590"/>
    <w:r w:rsidRPr="001A4A5C">
      <w:rPr>
        <w:rFonts w:ascii="Bookman Old Style" w:hAnsi="Bookman Old Style"/>
        <w:lang w:val="es-CO"/>
      </w:rPr>
      <w:t xml:space="preserve">CRA 2 E # 15 A – 12, Barrio Abbas Turbay </w:t>
    </w:r>
  </w:p>
  <w:p w14:paraId="6BD7BB13" w14:textId="318B1BE4" w:rsidR="001A4A5C" w:rsidRPr="001A4A5C" w:rsidRDefault="001A4A5C" w:rsidP="00664571">
    <w:pPr>
      <w:pStyle w:val="Piedepgina"/>
      <w:jc w:val="center"/>
      <w:rPr>
        <w:rFonts w:ascii="Bookman Old Style" w:hAnsi="Bookman Old Style"/>
        <w:lang w:val="es-CO"/>
      </w:rPr>
    </w:pPr>
    <w:r w:rsidRPr="001A4A5C">
      <w:rPr>
        <w:rFonts w:ascii="Bookman Old Style" w:hAnsi="Bookman Old Style"/>
        <w:lang w:val="es-CO"/>
      </w:rPr>
      <w:t>Florencia- Caquetá</w:t>
    </w:r>
  </w:p>
  <w:bookmarkEnd w:id="1"/>
  <w:p w14:paraId="5E6D9C55" w14:textId="116D4571" w:rsidR="001A4A5C" w:rsidRPr="001A4A5C" w:rsidRDefault="00F03438" w:rsidP="001A4A5C">
    <w:pPr>
      <w:pStyle w:val="Piedepgina"/>
      <w:jc w:val="center"/>
      <w:rPr>
        <w:rFonts w:ascii="Bookman Old Style" w:hAnsi="Bookman Old Style"/>
        <w:lang w:val="es-CO"/>
      </w:rPr>
    </w:pPr>
    <w:r>
      <w:rPr>
        <w:rFonts w:ascii="Bookman Old Style" w:hAnsi="Bookman Old Style"/>
        <w:noProof/>
        <w:sz w:val="24"/>
      </w:rPr>
      <mc:AlternateContent>
        <mc:Choice Requires="wps">
          <w:drawing>
            <wp:anchor distT="0" distB="0" distL="114300" distR="114300" simplePos="0" relativeHeight="251674624" behindDoc="0" locked="0" layoutInCell="1" allowOverlap="1" wp14:anchorId="2EC9C9D1" wp14:editId="6D722039">
              <wp:simplePos x="0" y="0"/>
              <wp:positionH relativeFrom="column">
                <wp:posOffset>-1104900</wp:posOffset>
              </wp:positionH>
              <wp:positionV relativeFrom="paragraph">
                <wp:posOffset>499001</wp:posOffset>
              </wp:positionV>
              <wp:extent cx="7992094" cy="285750"/>
              <wp:effectExtent l="0" t="0" r="9525" b="0"/>
              <wp:wrapNone/>
              <wp:docPr id="1974818947" name="Rectángulo 4"/>
              <wp:cNvGraphicFramePr/>
              <a:graphic xmlns:a="http://schemas.openxmlformats.org/drawingml/2006/main">
                <a:graphicData uri="http://schemas.microsoft.com/office/word/2010/wordprocessingShape">
                  <wps:wsp>
                    <wps:cNvSpPr/>
                    <wps:spPr>
                      <a:xfrm>
                        <a:off x="0" y="0"/>
                        <a:ext cx="7992094" cy="285750"/>
                      </a:xfrm>
                      <a:prstGeom prst="rect">
                        <a:avLst/>
                      </a:prstGeom>
                      <a:solidFill>
                        <a:srgbClr val="0F2916"/>
                      </a:solidFill>
                      <a:ln w="12700">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93CB68" id="Rectángulo 4" o:spid="_x0000_s1026" style="position:absolute;margin-left:-87pt;margin-top:39.3pt;width:629.3pt;height:22.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n7MxgrwIAAJoFAAAOAAAAZHJzL2Uyb0RvYy54bWysVM1u2zAMvg/YOwi6r/6B08RBnSJokWFA 0RZth54VWY4NyKImKXGyt9mz7MVGyT/tuu4y7CKLJvmR/ETy4vLYSnIQxjagCpqcxZQIxaFs1K6g X582nxaUWMdUySQoUdCTsPRy9fHDRaeXIoUaZCkMQRBll50uaO2cXkaR5bVomT0DLRQqKzAtcyia XVQa1iF6K6M0js+jDkypDXBhLf697pV0FfCrSnB3V1VWOCILirm5cJpwbv0ZrS7YcmeYrhs+pMH+ IYuWNQqDTlDXzDGyN80fUG3DDVio3BmHNoKqargINWA1SfymmseaaRFqQXKsnmiy/w+W3x7uDWlK fLt8ni2SRZ7NKVGsxbd6QPZ+/lC7vQSSeaY6bZfo8KjvzSBZvPqyj5Vp/RcLIsfA7mliVxwd4fhz nudpnGeUcNSli9l8FuiPXry1se6zgJb4S0ENxg+kssONdRgRTUcTH8yCbMpNI2UQzG57JQ05MP/S mzRPzn3K6PKbmVSkw1rTeRwHaAUeoDeUCu19jX1V4eZOUnh4qR5EhTxhHWlwDB0qpoiMc6Fc0qtq Voo+kWQWY6AhD9/T3iNkFQA9coXxJ+wBYLTsQUbsHmaw964iNPjk3Ff0l8R658kjRAblJue2UWDe q0xiVUPk3n4kqafGs7SF8oRdZKAfL6v5psEXvGHW3TOD84SThzvC3eFRScAHgOFGSQ3m+3v/vT22 OWop6XA+C2q/7ZkRlMgvCgcgT7LMD3QQstk8RcG81mxfa9S+vQJsjAS3kebh6u2dHK+VgfYZV8na R0UVUxxjF5Q7MwpXrt8buIy4WK+DGQ6xZu5GPWruwT2rvkOfjs/M6KGNHQ7ALYyzzJZvurm39Z4K 1nsHVRNa/YXXgW9cAKFxhmXlN8xrOVi9rNTVLwAAAP//AwBQSwMEFAAGAAgAAAAhAEoM5xPgAAAA DAEAAA8AAABkcnMvZG93bnJldi54bWxMj8FuwjAQRO+V+g/WVuoNnNA0RGkchFoBpwoB/QATb+OI eJ3GDkn/vuZUbjPa0eybYjWZll2xd40lAfE8AoZUWdVQLeDrtJllwJyXpGRrCQX8ooNV+fhQyFzZ kQ54PfqahRJyuRSgve9yzl2l0Ug3tx1SuH3b3kgfbF9z1csxlJuWL6Io5UY2FD5o2eG7xupyHIyA nf9Ru+34maz38Svth0ZfPlAL8fw0rd+AeZz8fxhu+AEdysB0tgMpx1oBs3iZhDFewDJLgd0SUZYE dQ5q8ZICLwt+P6L8AwAA//8DAFBLAQItABQABgAIAAAAIQC2gziS/gAAAOEBAAATAAAAAAAAAAAA AAAAAAAAAABbQ29udGVudF9UeXBlc10ueG1sUEsBAi0AFAAGAAgAAAAhADj9If/WAAAAlAEAAAsA AAAAAAAAAAAAAAAALwEAAF9yZWxzLy5yZWxzUEsBAi0AFAAGAAgAAAAhAGfszGCvAgAAmgUAAA4A AAAAAAAAAAAAAAAALgIAAGRycy9lMm9Eb2MueG1sUEsBAi0AFAAGAAgAAAAhAEoM5xPgAAAADAEA AA8AAAAAAAAAAAAAAAAACQUAAGRycy9kb3ducmV2LnhtbFBLBQYAAAAABAAEAPMAAAAWBgAAAAA= " fillcolor="#0f2916" stroked="f" strokeweight="1pt"/>
          </w:pict>
        </mc:Fallback>
      </mc:AlternateContent>
    </w:r>
    <w:r w:rsidR="00664571" w:rsidRPr="001A4A5C">
      <w:rPr>
        <w:rFonts w:ascii="Bookman Old Style" w:hAnsi="Bookman Old Style"/>
        <w:lang w:val="es-CO"/>
      </w:rPr>
      <w:t>Correo</w:t>
    </w:r>
    <w:bookmarkStart w:id="2" w:name="_Hlk224335619"/>
    <w:bookmarkStart w:id="3" w:name="_Hlk224335620"/>
    <w:r w:rsidR="00664571" w:rsidRPr="001A4A5C">
      <w:rPr>
        <w:rFonts w:ascii="Bookman Old Style" w:hAnsi="Bookman Old Style"/>
        <w:lang w:val="es-CO"/>
      </w:rPr>
      <w:t xml:space="preserve">:  </w:t>
    </w:r>
    <w:hyperlink r:id="rId1" w:history="1">
      <w:r w:rsidR="001A4A5C" w:rsidRPr="001A4A5C">
        <w:rPr>
          <w:rStyle w:val="Hipervnculo"/>
          <w:rFonts w:ascii="Bookman Old Style" w:hAnsi="Bookman Old Style"/>
          <w:lang w:val="es-CO"/>
        </w:rPr>
        <w:t>ing3dreco@gmail.com</w:t>
      </w:r>
    </w:hyperlink>
    <w:r w:rsidR="001A4A5C" w:rsidRPr="001A4A5C">
      <w:rPr>
        <w:rFonts w:ascii="Bookman Old Style" w:hAnsi="Bookman Old Style"/>
        <w:lang w:val="es-CO"/>
      </w:rPr>
      <w:br/>
      <w:t>teléfono:</w:t>
    </w:r>
    <w:r w:rsidR="001A4A5C">
      <w:rPr>
        <w:rFonts w:ascii="Bookman Old Style" w:hAnsi="Bookman Old Style"/>
        <w:lang w:val="es-CO"/>
      </w:rPr>
      <w:t xml:space="preserve"> 3227590147</w:t>
    </w:r>
    <w:bookmarkEnd w:id="2"/>
    <w:bookmarkEnd w:id="3"/>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D3B6C5" w14:textId="77777777" w:rsidR="00DD43B9" w:rsidRDefault="00DD43B9" w:rsidP="00BC328F">
      <w:pPr>
        <w:spacing w:after="0" w:line="240" w:lineRule="auto"/>
      </w:pPr>
      <w:bookmarkStart w:id="0" w:name="_Hlk146618359"/>
      <w:bookmarkEnd w:id="0"/>
      <w:r>
        <w:separator/>
      </w:r>
    </w:p>
  </w:footnote>
  <w:footnote w:type="continuationSeparator" w:id="0">
    <w:p w14:paraId="2DEA7128" w14:textId="77777777" w:rsidR="00DD43B9" w:rsidRDefault="00DD43B9" w:rsidP="00BC32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C8AEAF" w14:textId="586A638D" w:rsidR="00BC328F" w:rsidRDefault="007217C5" w:rsidP="00F03438">
    <w:pPr>
      <w:spacing w:after="0" w:line="240" w:lineRule="auto"/>
      <w:contextualSpacing/>
    </w:pPr>
    <w:r>
      <w:rPr>
        <w:rFonts w:ascii="Bookman Old Style" w:hAnsi="Bookman Old Style"/>
        <w:noProof/>
        <w:sz w:val="24"/>
      </w:rPr>
      <w:drawing>
        <wp:anchor distT="0" distB="0" distL="114300" distR="114300" simplePos="0" relativeHeight="251670528" behindDoc="0" locked="0" layoutInCell="1" allowOverlap="1" wp14:anchorId="1CECD43A" wp14:editId="1CAC11F4">
          <wp:simplePos x="0" y="0"/>
          <wp:positionH relativeFrom="column">
            <wp:posOffset>1985010</wp:posOffset>
          </wp:positionH>
          <wp:positionV relativeFrom="paragraph">
            <wp:posOffset>48932</wp:posOffset>
          </wp:positionV>
          <wp:extent cx="1431925" cy="1059180"/>
          <wp:effectExtent l="0" t="0" r="0" b="7620"/>
          <wp:wrapTopAndBottom/>
          <wp:docPr id="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3"/>
                  <pic:cNvPicPr/>
                </pic:nvPicPr>
                <pic:blipFill rotWithShape="1">
                  <a:blip r:embed="rId1">
                    <a:extLst>
                      <a:ext uri="{28A0092B-C50C-407E-A947-70E740481C1C}">
                        <a14:useLocalDpi xmlns:a14="http://schemas.microsoft.com/office/drawing/2010/main" val="0"/>
                      </a:ext>
                    </a:extLst>
                  </a:blip>
                  <a:srcRect t="-1877" b="-1546"/>
                  <a:stretch/>
                </pic:blipFill>
                <pic:spPr bwMode="auto">
                  <a:xfrm>
                    <a:off x="0" y="0"/>
                    <a:ext cx="1431925" cy="10591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74F56">
      <w:rPr>
        <w:rFonts w:ascii="Bookman Old Style" w:hAnsi="Bookman Old Style"/>
        <w:noProof/>
        <w:sz w:val="24"/>
      </w:rPr>
      <mc:AlternateContent>
        <mc:Choice Requires="wps">
          <w:drawing>
            <wp:anchor distT="0" distB="0" distL="114300" distR="114300" simplePos="0" relativeHeight="251672576" behindDoc="0" locked="0" layoutInCell="1" allowOverlap="1" wp14:anchorId="71C32EE6" wp14:editId="70C2D5E4">
              <wp:simplePos x="0" y="0"/>
              <wp:positionH relativeFrom="column">
                <wp:posOffset>-1187450</wp:posOffset>
              </wp:positionH>
              <wp:positionV relativeFrom="paragraph">
                <wp:posOffset>-434340</wp:posOffset>
              </wp:positionV>
              <wp:extent cx="8074025" cy="438150"/>
              <wp:effectExtent l="0" t="0" r="3175" b="0"/>
              <wp:wrapNone/>
              <wp:docPr id="1477698189" name="Rectángulo 4"/>
              <wp:cNvGraphicFramePr/>
              <a:graphic xmlns:a="http://schemas.openxmlformats.org/drawingml/2006/main">
                <a:graphicData uri="http://schemas.microsoft.com/office/word/2010/wordprocessingShape">
                  <wps:wsp>
                    <wps:cNvSpPr/>
                    <wps:spPr>
                      <a:xfrm>
                        <a:off x="0" y="0"/>
                        <a:ext cx="8074025" cy="438150"/>
                      </a:xfrm>
                      <a:prstGeom prst="rect">
                        <a:avLst/>
                      </a:prstGeom>
                      <a:solidFill>
                        <a:srgbClr val="0F2916"/>
                      </a:solidFill>
                      <a:ln w="12700">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7C4ADD" id="Rectángulo 4" o:spid="_x0000_s1026" style="position:absolute;margin-left:-93.5pt;margin-top:-34.2pt;width:635.75pt;height:3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dPUXrQIAAJoFAAAOAAAAZHJzL2Uyb0RvYy54bWysVNtOHDEMfa/Uf4jyXubSgb2IWbQCbVUJ AQIqnrOZZGekTJwm2Vv/pt/SH8PJXKCUvlR9ycRj+9g+sX1+cWgV2QnrGtAlzU5SSoTmUDV6U9Jv j6tPU0qcZ7piCrQo6VE4erH4+OF8b+YihxpUJSxBEO3me1PS2nszTxLHa9EydwJGaFRKsC3zKNpN Ulm2R/RWJXmaniV7sJWxwIVz+PeqU9JFxJdScH8rpROeqJJibj6eNp7rcCaLczbfWGbqhvdpsH/I omWNxqAj1BXzjGxt8wdU23ALDqQ/4dAmIGXDRawBq8nSN9U81MyIWAuS48xIk/t/sPxmd2dJU+Hb FZPJ2WyaTWeUaNbiW90je79+6s1WASkCU3vj5ujwYO5sLzm8hrIP0rbhiwWRQ2T3OLIrDp5w/DlN J0Wan1LCUVd8nmankf7kxdtY578IaEm4lNRi/Egq2107jxHRdDAJwRyoplo1SkXBbtaXypIdCy+9 ymfZWUgZXX4zU5rssdZ8kqYRWkMA6AyVRvtQY1dVvPmjEgFe6XshkSesI4+OsUPFGJFxLrTPOlXN KtElgjVioD6P0NPBI2YVAQOyxPgjdg8wWHYgA3YH09sHVxEbfHTuKvpLYp3z6BEjg/ajc9tosO9V prCqPnJnP5DUURNYWkN1xC6y0I2XM3zV4AteM+fvmMV5wsnDHeFv8ZAK8AGgv1FSg/3x3v9gj22O Wkr2OJ8ldd+3zApK1FeNAzDLiiIMdBSK00mOgn2tWb/W6G17CdgYGW4jw+M12Hs1XKWF9glXyTJE RRXTHGOXlHs7CJe+2xu4jLhYLqMZDrFh/lo/GB7AA6uhQx8PT8yavo09DsANDLPM5m+6ubMNnhqW Ww+yia3+wmvPNy6A2Dj9sgob5rUcrV5W6uIZAAD//wMAUEsDBBQABgAIAAAAIQBq9h8n3wAAAAoB AAAPAAAAZHJzL2Rvd25yZXYueG1sTI/BbsIwEETvlfoP1iL1Bk6qEKI0DkJFlFOFgH6AiZc4Il6n sUPSv685tbdZzWj2TbGeTMvu2LvGkoB4EQFDqqxqqBbwdd7NM2DOS1KytYQCftDBunx+KmSu7EhH vJ98zUIJuVwK0N53Oeeu0mikW9gOKXhX2xvpw9nXXPVyDOWm5a9RlHIjGwoftOzwXWN1Ow1GwN5/ q/3H+JlsDvGSDkOjb1vUQrzMps0bMI+T/wvDAz+gQxmYLnYg5VgrYB5nqzDGB5VmCbBHJMqSJbCL gBR4WfD/E8pfAAAA//8DAFBLAQItABQABgAIAAAAIQC2gziS/gAAAOEBAAATAAAAAAAAAAAAAAAA AAAAAABbQ29udGVudF9UeXBlc10ueG1sUEsBAi0AFAAGAAgAAAAhADj9If/WAAAAlAEAAAsAAAAA AAAAAAAAAAAALwEAAF9yZWxzLy5yZWxzUEsBAi0AFAAGAAgAAAAhAJ509RetAgAAmgUAAA4AAAAA AAAAAAAAAAAALgIAAGRycy9lMm9Eb2MueG1sUEsBAi0AFAAGAAgAAAAhAGr2HyffAAAACgEAAA8A AAAAAAAAAAAAAAAABwUAAGRycy9kb3ducmV2LnhtbFBLBQYAAAAABAAEAPMAAAATBgAAAAA= " fillcolor="#0f2916" stroked="f" strokeweight="1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E0349D"/>
    <w:multiLevelType w:val="hybridMultilevel"/>
    <w:tmpl w:val="68DEA072"/>
    <w:lvl w:ilvl="0" w:tplc="240A000F">
      <w:start w:val="1"/>
      <w:numFmt w:val="decimal"/>
      <w:lvlText w:val="%1."/>
      <w:lvlJc w:val="left"/>
      <w:pPr>
        <w:ind w:left="795" w:hanging="360"/>
      </w:pPr>
    </w:lvl>
    <w:lvl w:ilvl="1" w:tplc="240A0019" w:tentative="1">
      <w:start w:val="1"/>
      <w:numFmt w:val="lowerLetter"/>
      <w:lvlText w:val="%2."/>
      <w:lvlJc w:val="left"/>
      <w:pPr>
        <w:ind w:left="1515" w:hanging="360"/>
      </w:pPr>
    </w:lvl>
    <w:lvl w:ilvl="2" w:tplc="240A001B" w:tentative="1">
      <w:start w:val="1"/>
      <w:numFmt w:val="lowerRoman"/>
      <w:lvlText w:val="%3."/>
      <w:lvlJc w:val="right"/>
      <w:pPr>
        <w:ind w:left="2235" w:hanging="180"/>
      </w:pPr>
    </w:lvl>
    <w:lvl w:ilvl="3" w:tplc="240A000F" w:tentative="1">
      <w:start w:val="1"/>
      <w:numFmt w:val="decimal"/>
      <w:lvlText w:val="%4."/>
      <w:lvlJc w:val="left"/>
      <w:pPr>
        <w:ind w:left="2955" w:hanging="360"/>
      </w:pPr>
    </w:lvl>
    <w:lvl w:ilvl="4" w:tplc="240A0019" w:tentative="1">
      <w:start w:val="1"/>
      <w:numFmt w:val="lowerLetter"/>
      <w:lvlText w:val="%5."/>
      <w:lvlJc w:val="left"/>
      <w:pPr>
        <w:ind w:left="3675" w:hanging="360"/>
      </w:pPr>
    </w:lvl>
    <w:lvl w:ilvl="5" w:tplc="240A001B" w:tentative="1">
      <w:start w:val="1"/>
      <w:numFmt w:val="lowerRoman"/>
      <w:lvlText w:val="%6."/>
      <w:lvlJc w:val="right"/>
      <w:pPr>
        <w:ind w:left="4395" w:hanging="180"/>
      </w:pPr>
    </w:lvl>
    <w:lvl w:ilvl="6" w:tplc="240A000F" w:tentative="1">
      <w:start w:val="1"/>
      <w:numFmt w:val="decimal"/>
      <w:lvlText w:val="%7."/>
      <w:lvlJc w:val="left"/>
      <w:pPr>
        <w:ind w:left="5115" w:hanging="360"/>
      </w:pPr>
    </w:lvl>
    <w:lvl w:ilvl="7" w:tplc="240A0019" w:tentative="1">
      <w:start w:val="1"/>
      <w:numFmt w:val="lowerLetter"/>
      <w:lvlText w:val="%8."/>
      <w:lvlJc w:val="left"/>
      <w:pPr>
        <w:ind w:left="5835" w:hanging="360"/>
      </w:pPr>
    </w:lvl>
    <w:lvl w:ilvl="8" w:tplc="240A001B" w:tentative="1">
      <w:start w:val="1"/>
      <w:numFmt w:val="lowerRoman"/>
      <w:lvlText w:val="%9."/>
      <w:lvlJc w:val="right"/>
      <w:pPr>
        <w:ind w:left="6555" w:hanging="180"/>
      </w:pPr>
    </w:lvl>
  </w:abstractNum>
  <w:abstractNum w:abstractNumId="1" w15:restartNumberingAfterBreak="0">
    <w:nsid w:val="239252BF"/>
    <w:multiLevelType w:val="hybridMultilevel"/>
    <w:tmpl w:val="75B08024"/>
    <w:lvl w:ilvl="0" w:tplc="6AE8AC16">
      <w:start w:val="1"/>
      <w:numFmt w:val="decimal"/>
      <w:lvlText w:val="%1."/>
      <w:lvlJc w:val="left"/>
      <w:pPr>
        <w:ind w:left="-66" w:hanging="360"/>
      </w:pPr>
      <w:rPr>
        <w:rFonts w:hint="default"/>
      </w:rPr>
    </w:lvl>
    <w:lvl w:ilvl="1" w:tplc="240A0019" w:tentative="1">
      <w:start w:val="1"/>
      <w:numFmt w:val="lowerLetter"/>
      <w:lvlText w:val="%2."/>
      <w:lvlJc w:val="left"/>
      <w:pPr>
        <w:ind w:left="654" w:hanging="360"/>
      </w:pPr>
    </w:lvl>
    <w:lvl w:ilvl="2" w:tplc="240A001B" w:tentative="1">
      <w:start w:val="1"/>
      <w:numFmt w:val="lowerRoman"/>
      <w:lvlText w:val="%3."/>
      <w:lvlJc w:val="right"/>
      <w:pPr>
        <w:ind w:left="1374" w:hanging="180"/>
      </w:pPr>
    </w:lvl>
    <w:lvl w:ilvl="3" w:tplc="240A000F" w:tentative="1">
      <w:start w:val="1"/>
      <w:numFmt w:val="decimal"/>
      <w:lvlText w:val="%4."/>
      <w:lvlJc w:val="left"/>
      <w:pPr>
        <w:ind w:left="2094" w:hanging="360"/>
      </w:pPr>
    </w:lvl>
    <w:lvl w:ilvl="4" w:tplc="240A0019" w:tentative="1">
      <w:start w:val="1"/>
      <w:numFmt w:val="lowerLetter"/>
      <w:lvlText w:val="%5."/>
      <w:lvlJc w:val="left"/>
      <w:pPr>
        <w:ind w:left="2814" w:hanging="360"/>
      </w:pPr>
    </w:lvl>
    <w:lvl w:ilvl="5" w:tplc="240A001B" w:tentative="1">
      <w:start w:val="1"/>
      <w:numFmt w:val="lowerRoman"/>
      <w:lvlText w:val="%6."/>
      <w:lvlJc w:val="right"/>
      <w:pPr>
        <w:ind w:left="3534" w:hanging="180"/>
      </w:pPr>
    </w:lvl>
    <w:lvl w:ilvl="6" w:tplc="240A000F" w:tentative="1">
      <w:start w:val="1"/>
      <w:numFmt w:val="decimal"/>
      <w:lvlText w:val="%7."/>
      <w:lvlJc w:val="left"/>
      <w:pPr>
        <w:ind w:left="4254" w:hanging="360"/>
      </w:pPr>
    </w:lvl>
    <w:lvl w:ilvl="7" w:tplc="240A0019" w:tentative="1">
      <w:start w:val="1"/>
      <w:numFmt w:val="lowerLetter"/>
      <w:lvlText w:val="%8."/>
      <w:lvlJc w:val="left"/>
      <w:pPr>
        <w:ind w:left="4974" w:hanging="360"/>
      </w:pPr>
    </w:lvl>
    <w:lvl w:ilvl="8" w:tplc="240A001B" w:tentative="1">
      <w:start w:val="1"/>
      <w:numFmt w:val="lowerRoman"/>
      <w:lvlText w:val="%9."/>
      <w:lvlJc w:val="right"/>
      <w:pPr>
        <w:ind w:left="5694" w:hanging="180"/>
      </w:pPr>
    </w:lvl>
  </w:abstractNum>
  <w:abstractNum w:abstractNumId="2" w15:restartNumberingAfterBreak="0">
    <w:nsid w:val="2EF357B0"/>
    <w:multiLevelType w:val="hybridMultilevel"/>
    <w:tmpl w:val="1FE85B3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46A55A66"/>
    <w:multiLevelType w:val="hybridMultilevel"/>
    <w:tmpl w:val="EED888B8"/>
    <w:lvl w:ilvl="0" w:tplc="AC0A88A0">
      <w:start w:val="1"/>
      <w:numFmt w:val="upperLetter"/>
      <w:lvlText w:val="%1."/>
      <w:lvlJc w:val="left"/>
      <w:pPr>
        <w:ind w:left="-66" w:hanging="360"/>
      </w:pPr>
      <w:rPr>
        <w:rFonts w:hint="default"/>
        <w:b/>
      </w:rPr>
    </w:lvl>
    <w:lvl w:ilvl="1" w:tplc="240A0019" w:tentative="1">
      <w:start w:val="1"/>
      <w:numFmt w:val="lowerLetter"/>
      <w:lvlText w:val="%2."/>
      <w:lvlJc w:val="left"/>
      <w:pPr>
        <w:ind w:left="654" w:hanging="360"/>
      </w:pPr>
    </w:lvl>
    <w:lvl w:ilvl="2" w:tplc="240A001B" w:tentative="1">
      <w:start w:val="1"/>
      <w:numFmt w:val="lowerRoman"/>
      <w:lvlText w:val="%3."/>
      <w:lvlJc w:val="right"/>
      <w:pPr>
        <w:ind w:left="1374" w:hanging="180"/>
      </w:pPr>
    </w:lvl>
    <w:lvl w:ilvl="3" w:tplc="240A000F" w:tentative="1">
      <w:start w:val="1"/>
      <w:numFmt w:val="decimal"/>
      <w:lvlText w:val="%4."/>
      <w:lvlJc w:val="left"/>
      <w:pPr>
        <w:ind w:left="2094" w:hanging="360"/>
      </w:pPr>
    </w:lvl>
    <w:lvl w:ilvl="4" w:tplc="240A0019" w:tentative="1">
      <w:start w:val="1"/>
      <w:numFmt w:val="lowerLetter"/>
      <w:lvlText w:val="%5."/>
      <w:lvlJc w:val="left"/>
      <w:pPr>
        <w:ind w:left="2814" w:hanging="360"/>
      </w:pPr>
    </w:lvl>
    <w:lvl w:ilvl="5" w:tplc="240A001B" w:tentative="1">
      <w:start w:val="1"/>
      <w:numFmt w:val="lowerRoman"/>
      <w:lvlText w:val="%6."/>
      <w:lvlJc w:val="right"/>
      <w:pPr>
        <w:ind w:left="3534" w:hanging="180"/>
      </w:pPr>
    </w:lvl>
    <w:lvl w:ilvl="6" w:tplc="240A000F" w:tentative="1">
      <w:start w:val="1"/>
      <w:numFmt w:val="decimal"/>
      <w:lvlText w:val="%7."/>
      <w:lvlJc w:val="left"/>
      <w:pPr>
        <w:ind w:left="4254" w:hanging="360"/>
      </w:pPr>
    </w:lvl>
    <w:lvl w:ilvl="7" w:tplc="240A0019" w:tentative="1">
      <w:start w:val="1"/>
      <w:numFmt w:val="lowerLetter"/>
      <w:lvlText w:val="%8."/>
      <w:lvlJc w:val="left"/>
      <w:pPr>
        <w:ind w:left="4974" w:hanging="360"/>
      </w:pPr>
    </w:lvl>
    <w:lvl w:ilvl="8" w:tplc="240A001B" w:tentative="1">
      <w:start w:val="1"/>
      <w:numFmt w:val="lowerRoman"/>
      <w:lvlText w:val="%9."/>
      <w:lvlJc w:val="right"/>
      <w:pPr>
        <w:ind w:left="5694" w:hanging="180"/>
      </w:pPr>
    </w:lvl>
  </w:abstractNum>
  <w:abstractNum w:abstractNumId="4" w15:restartNumberingAfterBreak="0">
    <w:nsid w:val="513E74D7"/>
    <w:multiLevelType w:val="hybridMultilevel"/>
    <w:tmpl w:val="3FD6614E"/>
    <w:lvl w:ilvl="0" w:tplc="41280D8A">
      <w:start w:val="1"/>
      <w:numFmt w:val="upp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661574B3"/>
    <w:multiLevelType w:val="hybridMultilevel"/>
    <w:tmpl w:val="71A89C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 w:numId="2">
    <w:abstractNumId w:val="5"/>
  </w:num>
  <w:num w:numId="3">
    <w:abstractNumId w:val="2"/>
  </w:num>
  <w:num w:numId="4">
    <w:abstractNumId w:val="1"/>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7D68"/>
    <w:rsid w:val="0000677F"/>
    <w:rsid w:val="0002720E"/>
    <w:rsid w:val="000705F3"/>
    <w:rsid w:val="0007492F"/>
    <w:rsid w:val="00092AE4"/>
    <w:rsid w:val="00095890"/>
    <w:rsid w:val="000C380D"/>
    <w:rsid w:val="00105BB1"/>
    <w:rsid w:val="00121216"/>
    <w:rsid w:val="001417D4"/>
    <w:rsid w:val="00144A76"/>
    <w:rsid w:val="00164F68"/>
    <w:rsid w:val="00171A31"/>
    <w:rsid w:val="00177CAB"/>
    <w:rsid w:val="001A0694"/>
    <w:rsid w:val="001A4A5C"/>
    <w:rsid w:val="001C6732"/>
    <w:rsid w:val="001E2EC6"/>
    <w:rsid w:val="002112AB"/>
    <w:rsid w:val="002168AE"/>
    <w:rsid w:val="0023645F"/>
    <w:rsid w:val="00244284"/>
    <w:rsid w:val="00244E6A"/>
    <w:rsid w:val="002450D2"/>
    <w:rsid w:val="00245C65"/>
    <w:rsid w:val="00250DA1"/>
    <w:rsid w:val="002F4150"/>
    <w:rsid w:val="002F7B20"/>
    <w:rsid w:val="00371166"/>
    <w:rsid w:val="00377CBD"/>
    <w:rsid w:val="003B58DC"/>
    <w:rsid w:val="003E2682"/>
    <w:rsid w:val="00401DFD"/>
    <w:rsid w:val="00406031"/>
    <w:rsid w:val="004213E4"/>
    <w:rsid w:val="00421E3F"/>
    <w:rsid w:val="00422818"/>
    <w:rsid w:val="00443E7D"/>
    <w:rsid w:val="00445B80"/>
    <w:rsid w:val="00454C2C"/>
    <w:rsid w:val="00457B2F"/>
    <w:rsid w:val="004C0F0E"/>
    <w:rsid w:val="004C58CD"/>
    <w:rsid w:val="004F3C8C"/>
    <w:rsid w:val="00505D87"/>
    <w:rsid w:val="00530ED9"/>
    <w:rsid w:val="00534BC4"/>
    <w:rsid w:val="00551A0F"/>
    <w:rsid w:val="00561B81"/>
    <w:rsid w:val="00563A95"/>
    <w:rsid w:val="0057560A"/>
    <w:rsid w:val="00581297"/>
    <w:rsid w:val="005A240E"/>
    <w:rsid w:val="005A433C"/>
    <w:rsid w:val="005C7BE4"/>
    <w:rsid w:val="005E6A65"/>
    <w:rsid w:val="006135DF"/>
    <w:rsid w:val="0062148D"/>
    <w:rsid w:val="0062495E"/>
    <w:rsid w:val="00664571"/>
    <w:rsid w:val="00664806"/>
    <w:rsid w:val="00665CAF"/>
    <w:rsid w:val="00666C03"/>
    <w:rsid w:val="00676324"/>
    <w:rsid w:val="00717A63"/>
    <w:rsid w:val="007217C5"/>
    <w:rsid w:val="007874A8"/>
    <w:rsid w:val="007A050C"/>
    <w:rsid w:val="007B5573"/>
    <w:rsid w:val="007D0185"/>
    <w:rsid w:val="007D100F"/>
    <w:rsid w:val="007D51E3"/>
    <w:rsid w:val="007F7325"/>
    <w:rsid w:val="008069CE"/>
    <w:rsid w:val="00853F6A"/>
    <w:rsid w:val="00853FEE"/>
    <w:rsid w:val="00860ADE"/>
    <w:rsid w:val="00874F56"/>
    <w:rsid w:val="00892605"/>
    <w:rsid w:val="008C0F65"/>
    <w:rsid w:val="008C27C8"/>
    <w:rsid w:val="0091282D"/>
    <w:rsid w:val="009461C1"/>
    <w:rsid w:val="009A5E9F"/>
    <w:rsid w:val="009D6C95"/>
    <w:rsid w:val="009F718E"/>
    <w:rsid w:val="00A174E0"/>
    <w:rsid w:val="00A50408"/>
    <w:rsid w:val="00A55736"/>
    <w:rsid w:val="00A649E4"/>
    <w:rsid w:val="00A86309"/>
    <w:rsid w:val="00A92BBA"/>
    <w:rsid w:val="00AA2A82"/>
    <w:rsid w:val="00AB348C"/>
    <w:rsid w:val="00AC069C"/>
    <w:rsid w:val="00AE50F2"/>
    <w:rsid w:val="00AF2CB0"/>
    <w:rsid w:val="00B54313"/>
    <w:rsid w:val="00B766AF"/>
    <w:rsid w:val="00B77B68"/>
    <w:rsid w:val="00BC328F"/>
    <w:rsid w:val="00BD1169"/>
    <w:rsid w:val="00BE426B"/>
    <w:rsid w:val="00BF2C41"/>
    <w:rsid w:val="00C26E15"/>
    <w:rsid w:val="00C53AA9"/>
    <w:rsid w:val="00CA59DE"/>
    <w:rsid w:val="00CC585D"/>
    <w:rsid w:val="00CD3346"/>
    <w:rsid w:val="00CD3BF9"/>
    <w:rsid w:val="00CE2388"/>
    <w:rsid w:val="00CF6863"/>
    <w:rsid w:val="00D017DB"/>
    <w:rsid w:val="00D07069"/>
    <w:rsid w:val="00D52074"/>
    <w:rsid w:val="00D57D68"/>
    <w:rsid w:val="00D650BA"/>
    <w:rsid w:val="00D65B38"/>
    <w:rsid w:val="00D65B79"/>
    <w:rsid w:val="00D70DAF"/>
    <w:rsid w:val="00D71511"/>
    <w:rsid w:val="00D74E26"/>
    <w:rsid w:val="00D83B1E"/>
    <w:rsid w:val="00DA79D9"/>
    <w:rsid w:val="00DB379D"/>
    <w:rsid w:val="00DD43B9"/>
    <w:rsid w:val="00E16561"/>
    <w:rsid w:val="00E52C39"/>
    <w:rsid w:val="00E64310"/>
    <w:rsid w:val="00E85A9E"/>
    <w:rsid w:val="00EC79EF"/>
    <w:rsid w:val="00ED64EC"/>
    <w:rsid w:val="00EF6BED"/>
    <w:rsid w:val="00F03438"/>
    <w:rsid w:val="00F15BA3"/>
    <w:rsid w:val="00F9198B"/>
    <w:rsid w:val="00FB6F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8F2CCA"/>
  <w15:chartTrackingRefBased/>
  <w15:docId w15:val="{ABD8A553-61D9-4FFC-8EB5-60D1460C0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17D4"/>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853FEE"/>
    <w:pPr>
      <w:spacing w:after="0" w:line="240" w:lineRule="auto"/>
    </w:pPr>
  </w:style>
  <w:style w:type="paragraph" w:customStyle="1" w:styleId="Default">
    <w:name w:val="Default"/>
    <w:rsid w:val="00171A31"/>
    <w:pPr>
      <w:autoSpaceDE w:val="0"/>
      <w:autoSpaceDN w:val="0"/>
      <w:adjustRightInd w:val="0"/>
      <w:spacing w:after="0" w:line="240" w:lineRule="auto"/>
    </w:pPr>
    <w:rPr>
      <w:rFonts w:ascii="Arial" w:hAnsi="Arial" w:cs="Arial"/>
      <w:color w:val="000000"/>
      <w:sz w:val="24"/>
      <w:szCs w:val="24"/>
    </w:rPr>
  </w:style>
  <w:style w:type="paragraph" w:styleId="Textodeglobo">
    <w:name w:val="Balloon Text"/>
    <w:basedOn w:val="Normal"/>
    <w:link w:val="TextodegloboCar"/>
    <w:uiPriority w:val="99"/>
    <w:semiHidden/>
    <w:unhideWhenUsed/>
    <w:rsid w:val="00860AD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60ADE"/>
    <w:rPr>
      <w:rFonts w:ascii="Segoe UI" w:hAnsi="Segoe UI" w:cs="Segoe UI"/>
      <w:sz w:val="18"/>
      <w:szCs w:val="18"/>
    </w:rPr>
  </w:style>
  <w:style w:type="paragraph" w:styleId="Encabezado">
    <w:name w:val="header"/>
    <w:basedOn w:val="Normal"/>
    <w:link w:val="EncabezadoCar"/>
    <w:uiPriority w:val="99"/>
    <w:unhideWhenUsed/>
    <w:rsid w:val="00BC328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C328F"/>
  </w:style>
  <w:style w:type="paragraph" w:styleId="Piedepgina">
    <w:name w:val="footer"/>
    <w:basedOn w:val="Normal"/>
    <w:link w:val="PiedepginaCar"/>
    <w:uiPriority w:val="99"/>
    <w:unhideWhenUsed/>
    <w:rsid w:val="00BC328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C328F"/>
  </w:style>
  <w:style w:type="character" w:styleId="Hipervnculo">
    <w:name w:val="Hyperlink"/>
    <w:basedOn w:val="Fuentedeprrafopredeter"/>
    <w:uiPriority w:val="99"/>
    <w:unhideWhenUsed/>
    <w:rsid w:val="007D100F"/>
    <w:rPr>
      <w:color w:val="0563C1" w:themeColor="hyperlink"/>
      <w:u w:val="single"/>
    </w:rPr>
  </w:style>
  <w:style w:type="character" w:styleId="Mencinsinresolver">
    <w:name w:val="Unresolved Mention"/>
    <w:basedOn w:val="Fuentedeprrafopredeter"/>
    <w:uiPriority w:val="99"/>
    <w:semiHidden/>
    <w:unhideWhenUsed/>
    <w:rsid w:val="007D100F"/>
    <w:rPr>
      <w:color w:val="605E5C"/>
      <w:shd w:val="clear" w:color="auto" w:fill="E1DFDD"/>
    </w:rPr>
  </w:style>
  <w:style w:type="paragraph" w:styleId="NormalWeb">
    <w:name w:val="Normal (Web)"/>
    <w:basedOn w:val="Normal"/>
    <w:uiPriority w:val="99"/>
    <w:semiHidden/>
    <w:unhideWhenUsed/>
    <w:rsid w:val="008C27C8"/>
    <w:pPr>
      <w:spacing w:before="100" w:beforeAutospacing="1" w:after="100" w:afterAutospacing="1" w:line="240" w:lineRule="auto"/>
    </w:pPr>
    <w:rPr>
      <w:rFonts w:ascii="Times New Roman" w:eastAsia="Times New Roman" w:hAnsi="Times New Roman" w:cs="Times New Roman"/>
      <w:sz w:val="24"/>
      <w:szCs w:val="24"/>
      <w:lang w:val="es-CO" w:eastAsia="es-CO"/>
    </w:rPr>
  </w:style>
  <w:style w:type="paragraph" w:styleId="Prrafodelista">
    <w:name w:val="List Paragraph"/>
    <w:basedOn w:val="Normal"/>
    <w:uiPriority w:val="34"/>
    <w:qFormat/>
    <w:rsid w:val="00AE50F2"/>
    <w:pPr>
      <w:ind w:left="720"/>
      <w:contextualSpacing/>
    </w:pPr>
  </w:style>
  <w:style w:type="table" w:styleId="Tablaconcuadrcula">
    <w:name w:val="Table Grid"/>
    <w:basedOn w:val="Tablanormal"/>
    <w:uiPriority w:val="39"/>
    <w:rsid w:val="001417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unhideWhenUsed/>
    <w:rsid w:val="00D520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7245305">
      <w:bodyDiv w:val="1"/>
      <w:marLeft w:val="0"/>
      <w:marRight w:val="0"/>
      <w:marTop w:val="0"/>
      <w:marBottom w:val="0"/>
      <w:divBdr>
        <w:top w:val="none" w:sz="0" w:space="0" w:color="auto"/>
        <w:left w:val="none" w:sz="0" w:space="0" w:color="auto"/>
        <w:bottom w:val="none" w:sz="0" w:space="0" w:color="auto"/>
        <w:right w:val="none" w:sz="0" w:space="0" w:color="auto"/>
      </w:divBdr>
    </w:div>
    <w:div w:id="454980596">
      <w:bodyDiv w:val="1"/>
      <w:marLeft w:val="0"/>
      <w:marRight w:val="0"/>
      <w:marTop w:val="0"/>
      <w:marBottom w:val="0"/>
      <w:divBdr>
        <w:top w:val="none" w:sz="0" w:space="0" w:color="auto"/>
        <w:left w:val="none" w:sz="0" w:space="0" w:color="auto"/>
        <w:bottom w:val="none" w:sz="0" w:space="0" w:color="auto"/>
        <w:right w:val="none" w:sz="0" w:space="0" w:color="auto"/>
      </w:divBdr>
      <w:divsChild>
        <w:div w:id="3498362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1758625">
      <w:bodyDiv w:val="1"/>
      <w:marLeft w:val="0"/>
      <w:marRight w:val="0"/>
      <w:marTop w:val="0"/>
      <w:marBottom w:val="0"/>
      <w:divBdr>
        <w:top w:val="none" w:sz="0" w:space="0" w:color="auto"/>
        <w:left w:val="none" w:sz="0" w:space="0" w:color="auto"/>
        <w:bottom w:val="none" w:sz="0" w:space="0" w:color="auto"/>
        <w:right w:val="none" w:sz="0" w:space="0" w:color="auto"/>
      </w:divBdr>
    </w:div>
    <w:div w:id="1084378882">
      <w:bodyDiv w:val="1"/>
      <w:marLeft w:val="0"/>
      <w:marRight w:val="0"/>
      <w:marTop w:val="0"/>
      <w:marBottom w:val="0"/>
      <w:divBdr>
        <w:top w:val="none" w:sz="0" w:space="0" w:color="auto"/>
        <w:left w:val="none" w:sz="0" w:space="0" w:color="auto"/>
        <w:bottom w:val="none" w:sz="0" w:space="0" w:color="auto"/>
        <w:right w:val="none" w:sz="0" w:space="0" w:color="auto"/>
      </w:divBdr>
    </w:div>
    <w:div w:id="1348293278">
      <w:bodyDiv w:val="1"/>
      <w:marLeft w:val="0"/>
      <w:marRight w:val="0"/>
      <w:marTop w:val="0"/>
      <w:marBottom w:val="0"/>
      <w:divBdr>
        <w:top w:val="none" w:sz="0" w:space="0" w:color="auto"/>
        <w:left w:val="none" w:sz="0" w:space="0" w:color="auto"/>
        <w:bottom w:val="none" w:sz="0" w:space="0" w:color="auto"/>
        <w:right w:val="none" w:sz="0" w:space="0" w:color="auto"/>
      </w:divBdr>
    </w:div>
    <w:div w:id="1839153991">
      <w:bodyDiv w:val="1"/>
      <w:marLeft w:val="0"/>
      <w:marRight w:val="0"/>
      <w:marTop w:val="0"/>
      <w:marBottom w:val="0"/>
      <w:divBdr>
        <w:top w:val="none" w:sz="0" w:space="0" w:color="auto"/>
        <w:left w:val="none" w:sz="0" w:space="0" w:color="auto"/>
        <w:bottom w:val="none" w:sz="0" w:space="0" w:color="auto"/>
        <w:right w:val="none" w:sz="0" w:space="0" w:color="auto"/>
      </w:divBdr>
    </w:div>
    <w:div w:id="1908876481">
      <w:bodyDiv w:val="1"/>
      <w:marLeft w:val="0"/>
      <w:marRight w:val="0"/>
      <w:marTop w:val="0"/>
      <w:marBottom w:val="0"/>
      <w:divBdr>
        <w:top w:val="none" w:sz="0" w:space="0" w:color="auto"/>
        <w:left w:val="none" w:sz="0" w:space="0" w:color="auto"/>
        <w:bottom w:val="none" w:sz="0" w:space="0" w:color="auto"/>
        <w:right w:val="none" w:sz="0" w:space="0" w:color="auto"/>
      </w:divBdr>
    </w:div>
    <w:div w:id="2035156121">
      <w:bodyDiv w:val="1"/>
      <w:marLeft w:val="0"/>
      <w:marRight w:val="0"/>
      <w:marTop w:val="0"/>
      <w:marBottom w:val="0"/>
      <w:divBdr>
        <w:top w:val="none" w:sz="0" w:space="0" w:color="auto"/>
        <w:left w:val="none" w:sz="0" w:space="0" w:color="auto"/>
        <w:bottom w:val="none" w:sz="0" w:space="0" w:color="auto"/>
        <w:right w:val="none" w:sz="0" w:space="0" w:color="auto"/>
      </w:divBdr>
    </w:div>
    <w:div w:id="2081902261">
      <w:bodyDiv w:val="1"/>
      <w:marLeft w:val="0"/>
      <w:marRight w:val="0"/>
      <w:marTop w:val="0"/>
      <w:marBottom w:val="0"/>
      <w:divBdr>
        <w:top w:val="none" w:sz="0" w:space="0" w:color="auto"/>
        <w:left w:val="none" w:sz="0" w:space="0" w:color="auto"/>
        <w:bottom w:val="none" w:sz="0" w:space="0" w:color="auto"/>
        <w:right w:val="none" w:sz="0" w:space="0" w:color="auto"/>
      </w:divBdr>
    </w:div>
    <w:div w:id="2084184699">
      <w:bodyDiv w:val="1"/>
      <w:marLeft w:val="0"/>
      <w:marRight w:val="0"/>
      <w:marTop w:val="0"/>
      <w:marBottom w:val="0"/>
      <w:divBdr>
        <w:top w:val="none" w:sz="0" w:space="0" w:color="auto"/>
        <w:left w:val="none" w:sz="0" w:space="0" w:color="auto"/>
        <w:bottom w:val="none" w:sz="0" w:space="0" w:color="auto"/>
        <w:right w:val="none" w:sz="0" w:space="0" w:color="auto"/>
      </w:divBdr>
    </w:div>
    <w:div w:id="2107801106">
      <w:bodyDiv w:val="1"/>
      <w:marLeft w:val="0"/>
      <w:marRight w:val="0"/>
      <w:marTop w:val="0"/>
      <w:marBottom w:val="0"/>
      <w:divBdr>
        <w:top w:val="none" w:sz="0" w:space="0" w:color="auto"/>
        <w:left w:val="none" w:sz="0" w:space="0" w:color="auto"/>
        <w:bottom w:val="none" w:sz="0" w:space="0" w:color="auto"/>
        <w:right w:val="none" w:sz="0" w:space="0" w:color="auto"/>
      </w:divBdr>
    </w:div>
    <w:div w:id="2137411264">
      <w:bodyDiv w:val="1"/>
      <w:marLeft w:val="0"/>
      <w:marRight w:val="0"/>
      <w:marTop w:val="0"/>
      <w:marBottom w:val="0"/>
      <w:divBdr>
        <w:top w:val="none" w:sz="0" w:space="0" w:color="auto"/>
        <w:left w:val="none" w:sz="0" w:space="0" w:color="auto"/>
        <w:bottom w:val="none" w:sz="0" w:space="0" w:color="auto"/>
        <w:right w:val="none" w:sz="0" w:space="0" w:color="auto"/>
      </w:divBdr>
      <w:divsChild>
        <w:div w:id="18749964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Relationships xmlns="http://schemas.openxmlformats.org/package/2006/relationships"><Relationship Id="rId1" Type="http://schemas.openxmlformats.org/officeDocument/2006/relationships/hyperlink" Target="mailto:ing3dreco@gmail.com" TargetMode="External"/></Relationships>
</file>

<file path=word/_rels/header1.xml.rels><?xml version="1.0" encoding="UTF-8"?><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581</TotalTime>
  <Pages>7</Pages>
  <Words>2682</Words>
  <Characters>14755</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Jorge Alfredo Miranda Londoño</cp:lastModifiedBy>
  <cp:revision>16</cp:revision>
  <cp:lastPrinted>2026-04-07T05:00:00Z</cp:lastPrinted>
  <dcterms:created xsi:type="dcterms:W3CDTF">2026-03-29T02:49:00Z</dcterms:created>
  <dcterms:modified xsi:type="dcterms:W3CDTF">2026-04-29T01:28:00Z</dcterms:modified>
</cp:coreProperties>
</file>