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7365D"/>
          <w:sz w:val="20"/>
        </w:rPr>
        <w:t>SERVICIO NACIONAL DE APRENDIZAJE – SENA</w:t>
      </w:r>
    </w:p>
    <w:p>
      <w:pPr>
        <w:spacing w:after="100"/>
        <w:jc w:val="center"/>
      </w:pPr>
      <w:r>
        <w:rPr>
          <w:sz w:val="17"/>
        </w:rPr>
        <w:t>Centro Tecnológico del Mobiliario · Tecnoacademia del Valle de Aburrá Sur · Semillero SITAI</w:t>
      </w:r>
    </w:p>
    <w:p>
      <w:pPr>
        <w:pStyle w:val="Title"/>
        <w:spacing w:after="40"/>
        <w:jc w:val="center"/>
      </w:pPr>
      <w:r>
        <w:t>DISEÑO Y DESARROLLO PROGRESIVO DE UN PROTOTIPO DE</w:t>
        <w:br/>
        <w:t>BRAZO BIÓNICO DE BAJO COSTO</w:t>
      </w:r>
    </w:p>
    <w:p>
      <w:pPr>
        <w:spacing w:after="40"/>
        <w:jc w:val="center"/>
      </w:pPr>
      <w:r>
        <w:rPr>
          <w:i/>
          <w:color w:val="1F4E78"/>
          <w:sz w:val="17"/>
        </w:rPr>
        <w:t>Manufactura aditiva · actuación electromecánica · control mioeléctrico · inteligencia artificial</w:t>
      </w:r>
    </w:p>
    <w:p>
      <w:pPr>
        <w:spacing w:after="100"/>
        <w:jc w:val="center"/>
      </w:pPr>
      <w:r>
        <w:rPr>
          <w:color w:val="666666"/>
          <w:sz w:val="16"/>
        </w:rPr>
        <w:t>Responsable: David Rodolfo Murcia Peralta · Itagüí, Antioquia ·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color w:val="17365D"/>
                <w:sz w:val="14"/>
              </w:rPr>
              <w:t>Estado tecnológico</w:t>
              <w:br/>
            </w:r>
            <w:r>
              <w:rPr>
                <w:sz w:val="15"/>
              </w:rPr>
              <w:t>TRL 2 consolidado</w:t>
            </w:r>
          </w:p>
        </w:tc>
        <w:tc>
          <w:tcPr>
            <w:tcW w:type="dxa" w:w="2592"/>
            <w:shd w:fill="F3F7FA"/>
          </w:tcPr>
          <w:p>
            <w:pPr>
              <w:spacing w:after="0"/>
              <w:jc w:val="center"/>
            </w:pPr>
            <w:r/>
            <w:r>
              <w:rPr>
                <w:b/>
                <w:color w:val="17365D"/>
                <w:sz w:val="14"/>
              </w:rPr>
              <w:t>Hito inmediato</w:t>
              <w:br/>
            </w:r>
            <w:r>
              <w:rPr>
                <w:sz w:val="15"/>
              </w:rPr>
              <w:t>Cierre de evidencias TRL 3</w:t>
            </w:r>
          </w:p>
        </w:tc>
        <w:tc>
          <w:tcPr>
            <w:tcW w:type="dxa" w:w="2592"/>
            <w:shd w:fill="D9EAF7"/>
          </w:tcPr>
          <w:p>
            <w:pPr>
              <w:spacing w:after="0"/>
              <w:jc w:val="center"/>
            </w:pPr>
            <w:r/>
            <w:r>
              <w:rPr>
                <w:b/>
                <w:color w:val="17365D"/>
                <w:sz w:val="14"/>
              </w:rPr>
              <w:t>Versión actual</w:t>
              <w:br/>
            </w:r>
            <w:r>
              <w:rPr>
                <w:sz w:val="15"/>
              </w:rPr>
              <w:t>V1 mecánico</w:t>
            </w:r>
          </w:p>
        </w:tc>
        <w:tc>
          <w:tcPr>
            <w:tcW w:type="dxa" w:w="2592"/>
            <w:shd w:fill="F3F7FA"/>
          </w:tcPr>
          <w:p>
            <w:pPr>
              <w:spacing w:after="0"/>
              <w:jc w:val="center"/>
            </w:pPr>
            <w:r/>
            <w:r>
              <w:rPr>
                <w:b/>
                <w:color w:val="17365D"/>
                <w:sz w:val="14"/>
              </w:rPr>
              <w:t>Disponibilidad</w:t>
              <w:br/>
            </w:r>
            <w:r>
              <w:rPr>
                <w:sz w:val="15"/>
              </w:rPr>
              <w:t>3 h/semana</w:t>
            </w:r>
          </w:p>
        </w:tc>
      </w:tr>
    </w:tbl>
    <w:p>
      <w:pPr>
        <w:pStyle w:val="Heading1"/>
      </w:pPr>
      <w:r>
        <w:t>Síntesis del proyecto</w:t>
      </w:r>
    </w:p>
    <w:p>
      <w:r>
        <w:t xml:space="preserve">El proyecto desarrolla progresivamente un prototipo experimental de brazo biónico de bajo costo mediante manufactura aditiva, transmisión mecánica, actuación electromecánica y, en fases posteriores, sEMG y aprendizaje automático. </w:t>
      </w:r>
      <w:r>
        <w:rPr>
          <w:b/>
        </w:rPr>
        <w:t>La fase actual busca demostrar viabilidad técnica y reproducibilidad en laboratorio; el sistema no es todavía una prótesis clínica ni está autorizado para uso humano.</w:t>
      </w:r>
    </w:p>
    <w:p>
      <w:r>
        <w:t>La ideación surgió en 2024 como antecedente del semillero. El desarrollo técnico comenzó en 2025 con diseño paramétrico, modelado e impresión 3D. En 2026 se consolidaron documentación, archivos, componentes y una ruta de madurez basada en evidencia y niveles TRL.</w:t>
      </w:r>
    </w:p>
    <w:p>
      <w:pPr>
        <w:pStyle w:val="Heading1"/>
      </w:pPr>
      <w:r>
        <w:t>Estado actual y hallazgos</w:t>
      </w:r>
    </w:p>
    <w:p>
      <w:r>
        <w:rPr>
          <w:b/>
        </w:rPr>
        <w:t xml:space="preserve">El V1 es una estructura mecánica pasiva impresa con transmisión por tendones. </w:t>
      </w:r>
      <w:r>
        <w:t>El prototipo histórico permitió identificar conductos internos obstruidos, recorridos no validados, interferencias, cambios de tensión y falta de trazabilidad suficiente de fabricación. Por ello funciona como antecedente técnico, pero no como prueba de concepto reproducible.</w:t>
      </w:r>
    </w:p>
    <w:p>
      <w:r>
        <w:rPr>
          <w:b/>
        </w:rPr>
        <w:t>Actualmente se reproducen de forma controlada los componentes críticos del V1, aplicando un protocolo único de trazabilidad para diseño, material, equipo, fabricación, ensayo, evidencia fotográfica y decisiones técnicas.</w:t>
      </w:r>
    </w:p>
    <w:p>
      <w:pPr>
        <w:pStyle w:val="Heading1"/>
      </w:pPr>
      <w:r>
        <w:t>Prioridades de cierre TRL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Actividad</w:t>
            </w:r>
          </w:p>
        </w:tc>
        <w:tc>
          <w:tcPr>
            <w:tcW w:type="dxa" w:w="345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Producto esperado</w:t>
            </w:r>
          </w:p>
        </w:tc>
        <w:tc>
          <w:tcPr>
            <w:tcW w:type="dxa" w:w="345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Estado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A1 · Revisión técnica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Matriz bibliográfica y decisiones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A2 · Requisitos de ingeniería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Especificación, métricas y aceptación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Prioridad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A3 · Formación y competencias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Registro de competencias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Parcial</w:t>
            </w:r>
          </w:p>
        </w:tc>
      </w:tr>
      <w:tr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A4 · Consolidación técnica V1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Dossier V1 y manifiesto de archivos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Prioridad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A5 · Verificación experimental V1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Protocolo, datos e informe TRL 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A6 · Inventario/BOM y arquitectura V2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Inventario verificado y arquitectura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 ejecución</w:t>
            </w:r>
          </w:p>
        </w:tc>
      </w:tr>
    </w:tbl>
    <w:p>
      <w:r>
        <w:br w:type="page"/>
      </w:r>
    </w:p>
    <w:p>
      <w:pPr>
        <w:pStyle w:val="Heading1"/>
      </w:pPr>
      <w:r>
        <w:t>Ruta tecnológica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Versión</w:t>
            </w:r>
          </w:p>
        </w:tc>
        <w:tc>
          <w:tcPr>
            <w:tcW w:type="dxa" w:w="259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Alcance</w:t>
            </w:r>
          </w:p>
        </w:tc>
        <w:tc>
          <w:tcPr>
            <w:tcW w:type="dxa" w:w="259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Madurez</w:t>
            </w:r>
          </w:p>
        </w:tc>
        <w:tc>
          <w:tcPr>
            <w:tcW w:type="dxa" w:w="259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Situación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Mecánica pasiva impresa y transmisión por tendones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TRL 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Reproducción y verificación controlada</w:t>
            </w:r>
          </w:p>
        </w:tc>
      </w:tr>
      <w:tr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V2</w:t>
            </w:r>
          </w:p>
        </w:tc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Actuadores, potencia, electrónica, control y firmware</w:t>
            </w:r>
          </w:p>
        </w:tc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TRL 4</w:t>
            </w:r>
          </w:p>
        </w:tc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Arquitectura e inventario en consolidación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sEMG, procesamiento, ML y actuación integrada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TRL 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Futuro, condicionado al cierre de V2</w:t>
            </w:r>
          </w:p>
        </w:tc>
      </w:tr>
    </w:tbl>
    <w:p>
      <w:r>
        <w:rPr>
          <w:b/>
        </w:rPr>
        <w:t xml:space="preserve">La secuencia es deliberadamente escalonada: </w:t>
      </w:r>
      <w:r>
        <w:t>prueba de concepto mecánica reproducible → subsistema electromecánico verificado en laboratorio → sEMG e inteligencia artificial. Las pruebas con personas permanecen fuera de la fase actual y requerirán seguridad, protocolo, acompañamiento clínico y autorizaciones aplicables.</w:t>
      </w:r>
    </w:p>
    <w:p>
      <w:pPr>
        <w:pStyle w:val="Heading1"/>
      </w:pPr>
      <w:r>
        <w:t>Metodología y enfoque formativo</w:t>
      </w:r>
    </w:p>
    <w:p>
      <w:r>
        <w:rPr>
          <w:b/>
        </w:rPr>
        <w:t xml:space="preserve">Cada versión sigue un ciclo iterativo de ingeniería: </w:t>
      </w:r>
      <w:r>
        <w:t>definición → diseño → fabricación → verificación → análisis de fallos → decisión → rediseño. El proyecto utiliza control de versiones, nomenclatura técnica, inventario/BOM, registros de fabricación, protocolos de ensayo y evidencia fotográfica.</w:t>
      </w:r>
    </w:p>
    <w:p>
      <w:r>
        <w:rPr>
          <w:b/>
        </w:rPr>
        <w:t xml:space="preserve">El Semillero SITAI articula diseño y prototipado 3D, electrónica, robótica, TIC e inteligencia artificial. </w:t>
      </w:r>
      <w:r>
        <w:t>Los aprendices participan en modelado, fabricación, documentación, experimentación y análisis técnico, con mecanismos de transferencia para conservar conocimiento entre cohortes.</w:t>
      </w:r>
    </w:p>
    <w:p>
      <w:pPr>
        <w:pStyle w:val="Heading1"/>
      </w:pPr>
      <w:r>
        <w:t>Resultados y evidencias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Evidencia</w:t>
            </w:r>
          </w:p>
        </w:tc>
        <w:tc>
          <w:tcPr>
            <w:tcW w:type="dxa" w:w="518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 actual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Prototipo físico V1 histórico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Disponible como antecedente técnico no reproducible.</w:t>
            </w:r>
          </w:p>
        </w:tc>
      </w:tr>
      <w:tr>
        <w:tc>
          <w:tcPr>
            <w:tcW w:type="dxa" w:w="51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CAD/STL y planos</w:t>
            </w:r>
          </w:p>
        </w:tc>
        <w:tc>
          <w:tcPr>
            <w:tcW w:type="dxa" w:w="51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Recuperados y reorganizados; clasificación técnica en curso.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Fotografías y registros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Centralizados en la nueva estructura del proyecto.</w:t>
            </w:r>
          </w:p>
        </w:tc>
      </w:tr>
      <w:tr>
        <w:tc>
          <w:tcPr>
            <w:tcW w:type="dxa" w:w="51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Documento maestro</w:t>
            </w:r>
          </w:p>
        </w:tc>
        <w:tc>
          <w:tcPr>
            <w:tcW w:type="dxa" w:w="51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Versión integral 2026 vigente.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Protocolo de trazabilidad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Versión 1.0 vigente desde septiembre de 2026.</w:t>
            </w:r>
          </w:p>
        </w:tc>
      </w:tr>
      <w:tr>
        <w:tc>
          <w:tcPr>
            <w:tcW w:type="dxa" w:w="51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Nueva fabricación controlada V1</w:t>
            </w:r>
          </w:p>
        </w:tc>
        <w:tc>
          <w:tcPr>
            <w:tcW w:type="dxa" w:w="51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 curso; inicia la línea de evidencia reproducible.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Ensayos formales TRL 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Pendientes tras definición de requisitos y protocolo.</w:t>
            </w:r>
          </w:p>
        </w:tc>
      </w:tr>
    </w:tbl>
    <w:p>
      <w:pPr>
        <w:pStyle w:val="Heading1"/>
      </w:pPr>
      <w:r>
        <w:t>Alcance comunicable y próximo hito</w:t>
      </w:r>
    </w:p>
    <w:p>
      <w:r>
        <w:rPr>
          <w:b/>
        </w:rPr>
        <w:t xml:space="preserve">El proyecto investiga la factibilidad técnica de una arquitectura de bajo costo con proyección hacia tecnologías asistivas, </w:t>
      </w:r>
      <w:r>
        <w:t>sin afirmar todavía eficacia clínica, restauración de autonomía, biocompatibilidad o impacto en calidad de vida. El próximo hito institucional es cerrar TRL 3 mediante un V1 mecánico reproducible, requisitos verificables, protocolo de ensayo, datos y conclusión técnica, mientras se consolida la arquitectura V2.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Estado comunicable</w:t>
              <w:br/>
              <w:t>TRL 2 consolidado · cierre de evidencias TRL 3</w:t>
            </w:r>
          </w:p>
        </w:tc>
        <w:tc>
          <w:tcPr>
            <w:tcW w:type="dxa" w:w="5184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5"/>
              </w:rPr>
              <w:t>No comunicar como resultado logrado</w:t>
              <w:br/>
              <w:t>Prótesis clínica · EMG/IA integrado · validación con usuarios</w:t>
            </w:r>
          </w:p>
        </w:tc>
      </w:tr>
    </w:tbl>
    <w:p>
      <w:pPr>
        <w:spacing w:before="80"/>
        <w:jc w:val="center"/>
      </w:pPr>
      <w:r>
        <w:rPr>
          <w:i/>
          <w:color w:val="666666"/>
          <w:sz w:val="15"/>
        </w:rPr>
        <w:t>Documento de divulgación técnica. Para detalle metodológico y de trazabilidad, consultar el Documento Maestro y el Protocolo General de Trazabilidad, Fabricación y Evidencia.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936" w:bottom="691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Resumen ejecutivo del proyecto · Actualización septiembre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4"/>
      </w:rPr>
      <w:t>Semillero SITAI · Tecnoacademia del Valle de Aburrá Sur · SENA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