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Italian National PhD in Artificial Intelligence - Health and Life Sciences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Organizing Committee</w:t>
      </w:r>
      <w:r>
        <w:rPr>
          <w:rFonts w:ascii="Arial" w:hAnsi="Arial"/>
          <w:b w:val="0"/>
          <w:i w:val="0"/>
          <w:sz w:val="21"/>
        </w:rPr>
        <w:t xml:space="preserve"> - </w:t>
      </w:r>
      <w:r>
        <w:rPr>
          <w:rFonts w:ascii="Arial" w:hAnsi="Arial"/>
          <w:b w:val="0"/>
          <w:i/>
          <w:sz w:val="21"/>
        </w:rPr>
        <w:t>IEEE International Symposium on Biomedical Imaging (ISBI 2027)</w:t>
      </w:r>
      <w:r>
        <w:rPr>
          <w:rFonts w:ascii="Arial" w:hAnsi="Arial"/>
          <w:b w:val="0"/>
          <w:i w:val="0"/>
          <w:sz w:val="21"/>
        </w:rPr>
        <w:t>, Associate to Technical Program Chairs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