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6367821" w:displacedByCustomXml="next"/>
    <w:bookmarkStart w:id="1" w:name="_Toc456865987" w:displacedByCustomXml="next"/>
    <w:sdt>
      <w:sdtPr>
        <w:rPr>
          <w:rFonts w:ascii="Century Gothic" w:eastAsiaTheme="majorEastAsia" w:hAnsi="Century Gothic" w:cstheme="majorBidi"/>
          <w:b/>
          <w:color w:val="2E74B5" w:themeColor="accent1" w:themeShade="BF"/>
          <w:sz w:val="52"/>
          <w:szCs w:val="56"/>
          <w:u w:val="single"/>
          <w:lang w:val="es-ES"/>
        </w:rPr>
        <w:id w:val="395715421"/>
        <w:docPartObj>
          <w:docPartGallery w:val="Cover Pages"/>
          <w:docPartUnique/>
        </w:docPartObj>
      </w:sdtPr>
      <w:sdtEndPr>
        <w:rPr>
          <w:rFonts w:asciiTheme="majorHAnsi" w:hAnsiTheme="majorHAnsi"/>
          <w:b w:val="0"/>
          <w:sz w:val="32"/>
          <w:szCs w:val="32"/>
          <w:u w:val="none"/>
        </w:rPr>
      </w:sdtEndPr>
      <w:sdtContent>
        <w:p w:rsidR="004640A6" w:rsidRPr="0034672F" w:rsidRDefault="004640A6" w:rsidP="004640A6">
          <w:pPr>
            <w:spacing w:after="0" w:line="276" w:lineRule="auto"/>
            <w:jc w:val="center"/>
            <w:rPr>
              <w:rFonts w:ascii="Century Gothic" w:hAnsi="Century Gothic"/>
              <w:b/>
              <w:sz w:val="52"/>
              <w:szCs w:val="56"/>
              <w:u w:val="single"/>
            </w:rPr>
          </w:pPr>
          <w:r w:rsidRPr="0034672F">
            <w:rPr>
              <w:rFonts w:ascii="Century Gothic" w:hAnsi="Century Gothic"/>
              <w:b/>
              <w:sz w:val="52"/>
              <w:szCs w:val="56"/>
              <w:u w:val="single"/>
            </w:rPr>
            <w:t>UNIVERSIDAD AUTONOMA GABRIEL</w:t>
          </w:r>
        </w:p>
        <w:p w:rsidR="004640A6" w:rsidRPr="0034672F" w:rsidRDefault="004640A6" w:rsidP="004640A6">
          <w:pPr>
            <w:spacing w:after="0" w:line="276" w:lineRule="auto"/>
            <w:jc w:val="center"/>
            <w:rPr>
              <w:rFonts w:ascii="Century Gothic" w:hAnsi="Century Gothic"/>
              <w:b/>
              <w:sz w:val="52"/>
              <w:szCs w:val="56"/>
              <w:u w:val="single"/>
            </w:rPr>
          </w:pPr>
          <w:r w:rsidRPr="0034672F">
            <w:rPr>
              <w:rFonts w:ascii="Century Gothic" w:hAnsi="Century Gothic"/>
              <w:b/>
              <w:sz w:val="52"/>
              <w:szCs w:val="56"/>
              <w:u w:val="single"/>
            </w:rPr>
            <w:t>RENE MORENO</w:t>
          </w:r>
        </w:p>
        <w:p w:rsidR="004640A6" w:rsidRPr="0034672F" w:rsidRDefault="004640A6" w:rsidP="004640A6">
          <w:pPr>
            <w:spacing w:after="0" w:line="276" w:lineRule="auto"/>
            <w:jc w:val="center"/>
            <w:rPr>
              <w:b/>
              <w:sz w:val="44"/>
              <w:szCs w:val="44"/>
            </w:rPr>
          </w:pPr>
          <w:r w:rsidRPr="0034672F">
            <w:rPr>
              <w:b/>
              <w:sz w:val="44"/>
              <w:szCs w:val="44"/>
            </w:rPr>
            <w:t>FACULTAD DE INGENIERIA EN CIENCIAS DE LA COMPUTACION Y TELECOMUNICACIONES</w:t>
          </w:r>
        </w:p>
        <w:p w:rsidR="004640A6" w:rsidRDefault="004640A6" w:rsidP="004640A6">
          <w:pPr>
            <w:spacing w:line="360" w:lineRule="auto"/>
            <w:jc w:val="center"/>
          </w:pPr>
          <w:r w:rsidRPr="0034672F">
            <w:rPr>
              <w:noProof/>
              <w:lang w:eastAsia="es-BO"/>
            </w:rPr>
            <w:drawing>
              <wp:inline distT="0" distB="0" distL="0" distR="0" wp14:anchorId="59FE6506" wp14:editId="0F767D29">
                <wp:extent cx="1800000" cy="233706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C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337067"/>
                        </a:xfrm>
                        <a:prstGeom prst="rect">
                          <a:avLst/>
                        </a:prstGeom>
                      </pic:spPr>
                    </pic:pic>
                  </a:graphicData>
                </a:graphic>
              </wp:inline>
            </w:drawing>
          </w:r>
        </w:p>
        <w:p w:rsidR="00543ABC" w:rsidRPr="00543ABC" w:rsidRDefault="00543ABC" w:rsidP="00543ABC">
          <w:pPr>
            <w:spacing w:line="240" w:lineRule="auto"/>
            <w:jc w:val="center"/>
            <w:rPr>
              <w:b/>
              <w:color w:val="0070C0"/>
              <w:sz w:val="40"/>
            </w:rPr>
          </w:pPr>
          <w:r w:rsidRPr="00543ABC">
            <w:rPr>
              <w:b/>
              <w:color w:val="0070C0"/>
              <w:sz w:val="40"/>
            </w:rPr>
            <w:t>ASPECTOS LEGALES</w:t>
          </w:r>
        </w:p>
        <w:p w:rsidR="004640A6" w:rsidRPr="0034672F" w:rsidRDefault="00543ABC" w:rsidP="00543ABC">
          <w:pPr>
            <w:spacing w:line="240" w:lineRule="auto"/>
            <w:jc w:val="center"/>
            <w:rPr>
              <w:b/>
              <w:sz w:val="40"/>
              <w:szCs w:val="40"/>
              <w:u w:val="single"/>
            </w:rPr>
          </w:pPr>
          <w:r>
            <w:rPr>
              <w:b/>
              <w:sz w:val="40"/>
              <w:szCs w:val="40"/>
              <w:u w:val="single"/>
            </w:rPr>
            <w:t>Software para el Seguimiento de Microbuses en Tiempo Real por Usuarios y Central de Línea</w:t>
          </w:r>
        </w:p>
        <w:p w:rsidR="004640A6" w:rsidRPr="0034672F" w:rsidRDefault="004640A6" w:rsidP="004640A6">
          <w:pPr>
            <w:spacing w:line="360" w:lineRule="auto"/>
            <w:rPr>
              <w:rFonts w:ascii="Century Gothic" w:hAnsi="Century Gothic"/>
              <w:b/>
              <w:sz w:val="28"/>
            </w:rPr>
          </w:pPr>
          <w:r w:rsidRPr="0034672F">
            <w:rPr>
              <w:rFonts w:ascii="Century Gothic" w:hAnsi="Century Gothic"/>
              <w:b/>
              <w:sz w:val="32"/>
            </w:rPr>
            <w:t>Integrantes</w:t>
          </w:r>
          <w:r w:rsidR="00543ABC">
            <w:rPr>
              <w:rFonts w:ascii="Century Gothic" w:hAnsi="Century Gothic"/>
              <w:b/>
              <w:sz w:val="32"/>
            </w:rPr>
            <w:t>:</w:t>
          </w:r>
        </w:p>
        <w:p w:rsidR="004640A6" w:rsidRPr="0034672F" w:rsidRDefault="004640A6" w:rsidP="004640A6">
          <w:pPr>
            <w:pStyle w:val="Prrafodelista"/>
            <w:numPr>
              <w:ilvl w:val="0"/>
              <w:numId w:val="1"/>
            </w:numPr>
            <w:spacing w:after="0" w:line="360" w:lineRule="auto"/>
            <w:rPr>
              <w:rFonts w:ascii="Century Gothic" w:hAnsi="Century Gothic"/>
              <w:sz w:val="28"/>
            </w:rPr>
          </w:pPr>
          <w:r>
            <w:rPr>
              <w:rFonts w:ascii="Century Gothic" w:hAnsi="Century Gothic"/>
              <w:sz w:val="28"/>
            </w:rPr>
            <w:t>Giacoman Barba Julio</w:t>
          </w:r>
          <w:r>
            <w:rPr>
              <w:rFonts w:ascii="Century Gothic" w:hAnsi="Century Gothic"/>
              <w:sz w:val="28"/>
            </w:rPr>
            <w:tab/>
          </w:r>
          <w:r>
            <w:rPr>
              <w:rFonts w:ascii="Century Gothic" w:hAnsi="Century Gothic"/>
              <w:sz w:val="28"/>
            </w:rPr>
            <w:tab/>
          </w:r>
          <w:r>
            <w:rPr>
              <w:rFonts w:ascii="Century Gothic" w:hAnsi="Century Gothic"/>
              <w:sz w:val="28"/>
            </w:rPr>
            <w:tab/>
          </w:r>
          <w:r>
            <w:rPr>
              <w:rFonts w:ascii="Century Gothic" w:hAnsi="Century Gothic"/>
              <w:sz w:val="28"/>
            </w:rPr>
            <w:tab/>
            <w:t>213042411</w:t>
          </w:r>
        </w:p>
        <w:p w:rsidR="004640A6" w:rsidRPr="00543ABC" w:rsidRDefault="004640A6" w:rsidP="00543ABC">
          <w:pPr>
            <w:pStyle w:val="Prrafodelista"/>
            <w:numPr>
              <w:ilvl w:val="0"/>
              <w:numId w:val="1"/>
            </w:numPr>
            <w:spacing w:after="0" w:line="360" w:lineRule="auto"/>
            <w:rPr>
              <w:rFonts w:ascii="Century Gothic" w:hAnsi="Century Gothic"/>
              <w:sz w:val="28"/>
            </w:rPr>
          </w:pPr>
          <w:r w:rsidRPr="00BF21C7">
            <w:rPr>
              <w:rFonts w:ascii="Century Gothic" w:hAnsi="Century Gothic"/>
              <w:sz w:val="28"/>
            </w:rPr>
            <w:t>Peñarrieta Zanabria Franco Antonio</w:t>
          </w:r>
          <w:r w:rsidRPr="00BF21C7">
            <w:rPr>
              <w:rFonts w:ascii="Century Gothic" w:hAnsi="Century Gothic"/>
              <w:sz w:val="28"/>
            </w:rPr>
            <w:tab/>
          </w:r>
          <w:r w:rsidRPr="00BF21C7">
            <w:rPr>
              <w:rFonts w:ascii="Century Gothic" w:hAnsi="Century Gothic"/>
              <w:sz w:val="28"/>
            </w:rPr>
            <w:tab/>
            <w:t>205098721</w:t>
          </w:r>
        </w:p>
        <w:p w:rsidR="004640A6" w:rsidRPr="0034672F" w:rsidRDefault="004640A6" w:rsidP="004640A6">
          <w:pPr>
            <w:spacing w:line="360" w:lineRule="auto"/>
            <w:rPr>
              <w:rFonts w:ascii="Century Gothic" w:hAnsi="Century Gothic"/>
              <w:b/>
              <w:sz w:val="28"/>
            </w:rPr>
          </w:pPr>
          <w:r w:rsidRPr="0034672F">
            <w:rPr>
              <w:rFonts w:ascii="Century Gothic" w:hAnsi="Century Gothic"/>
              <w:b/>
              <w:sz w:val="28"/>
            </w:rPr>
            <w:t>Materia</w:t>
          </w:r>
          <w:r w:rsidRPr="0034672F">
            <w:rPr>
              <w:rFonts w:ascii="Century Gothic" w:hAnsi="Century Gothic"/>
              <w:b/>
              <w:sz w:val="28"/>
            </w:rPr>
            <w:tab/>
          </w:r>
          <w:r w:rsidRPr="0034672F">
            <w:rPr>
              <w:rFonts w:ascii="Century Gothic" w:hAnsi="Century Gothic"/>
              <w:b/>
              <w:sz w:val="28"/>
            </w:rPr>
            <w:tab/>
            <w:t xml:space="preserve">: </w:t>
          </w:r>
          <w:r w:rsidR="00543ABC">
            <w:rPr>
              <w:rFonts w:ascii="Century Gothic" w:hAnsi="Century Gothic"/>
              <w:b/>
              <w:sz w:val="28"/>
            </w:rPr>
            <w:tab/>
          </w:r>
          <w:r w:rsidR="00543ABC">
            <w:rPr>
              <w:rFonts w:ascii="Century Gothic" w:hAnsi="Century Gothic"/>
              <w:sz w:val="28"/>
            </w:rPr>
            <w:t>Ingeniería de Software II</w:t>
          </w:r>
        </w:p>
        <w:p w:rsidR="00543ABC" w:rsidRDefault="004640A6" w:rsidP="004640A6">
          <w:pPr>
            <w:spacing w:line="360" w:lineRule="auto"/>
            <w:rPr>
              <w:rFonts w:ascii="Century Gothic" w:hAnsi="Century Gothic"/>
              <w:sz w:val="28"/>
            </w:rPr>
          </w:pPr>
          <w:r w:rsidRPr="0034672F">
            <w:rPr>
              <w:rFonts w:ascii="Century Gothic" w:hAnsi="Century Gothic"/>
              <w:b/>
              <w:sz w:val="28"/>
            </w:rPr>
            <w:t>Docente</w:t>
          </w:r>
          <w:r w:rsidRPr="0034672F">
            <w:rPr>
              <w:rFonts w:ascii="Century Gothic" w:hAnsi="Century Gothic"/>
              <w:b/>
              <w:sz w:val="28"/>
            </w:rPr>
            <w:tab/>
          </w:r>
          <w:r w:rsidRPr="0034672F">
            <w:rPr>
              <w:rFonts w:ascii="Century Gothic" w:hAnsi="Century Gothic"/>
              <w:b/>
              <w:sz w:val="28"/>
            </w:rPr>
            <w:tab/>
            <w:t xml:space="preserve">: </w:t>
          </w:r>
          <w:r w:rsidR="00543ABC">
            <w:rPr>
              <w:rFonts w:ascii="Century Gothic" w:hAnsi="Century Gothic"/>
              <w:b/>
              <w:sz w:val="28"/>
            </w:rPr>
            <w:tab/>
          </w:r>
          <w:r w:rsidRPr="00543ABC">
            <w:rPr>
              <w:rFonts w:ascii="Century Gothic" w:hAnsi="Century Gothic"/>
              <w:sz w:val="28"/>
            </w:rPr>
            <w:t xml:space="preserve">Ing. </w:t>
          </w:r>
          <w:r w:rsidR="00543ABC" w:rsidRPr="00543ABC">
            <w:rPr>
              <w:rFonts w:ascii="Century Gothic" w:hAnsi="Century Gothic"/>
              <w:sz w:val="28"/>
            </w:rPr>
            <w:t>Rolando Martínez Canedo</w:t>
          </w:r>
        </w:p>
        <w:p w:rsidR="00543ABC" w:rsidRPr="0034672F" w:rsidRDefault="00543ABC" w:rsidP="004640A6">
          <w:pPr>
            <w:spacing w:line="360" w:lineRule="auto"/>
            <w:rPr>
              <w:rFonts w:ascii="Century Gothic" w:hAnsi="Century Gothic"/>
              <w:b/>
              <w:sz w:val="28"/>
            </w:rPr>
          </w:pPr>
        </w:p>
        <w:p w:rsidR="004640A6" w:rsidRPr="004640A6" w:rsidRDefault="004640A6" w:rsidP="004640A6">
          <w:pPr>
            <w:spacing w:line="360" w:lineRule="auto"/>
            <w:jc w:val="center"/>
          </w:pPr>
          <w:r w:rsidRPr="0034672F">
            <w:rPr>
              <w:rFonts w:ascii="Century Gothic" w:hAnsi="Century Gothic"/>
              <w:b/>
              <w:sz w:val="28"/>
            </w:rPr>
            <w:t xml:space="preserve">Santa Cruz, </w:t>
          </w:r>
          <w:r w:rsidR="00543ABC">
            <w:rPr>
              <w:rFonts w:ascii="Century Gothic" w:hAnsi="Century Gothic"/>
              <w:b/>
              <w:sz w:val="28"/>
            </w:rPr>
            <w:t>Bolivia</w:t>
          </w:r>
        </w:p>
        <w:sdt>
          <w:sdtPr>
            <w:rPr>
              <w:rFonts w:asciiTheme="minorHAnsi" w:eastAsiaTheme="minorEastAsia" w:hAnsiTheme="minorHAnsi" w:cstheme="minorBidi"/>
              <w:color w:val="auto"/>
              <w:sz w:val="22"/>
              <w:szCs w:val="22"/>
              <w:lang w:val="es-ES" w:eastAsia="en-US"/>
            </w:rPr>
            <w:id w:val="-1201629729"/>
            <w:docPartObj>
              <w:docPartGallery w:val="Table of Contents"/>
              <w:docPartUnique/>
            </w:docPartObj>
          </w:sdtPr>
          <w:sdtEndPr>
            <w:rPr>
              <w:rFonts w:eastAsiaTheme="minorHAnsi"/>
              <w:b/>
              <w:bCs/>
              <w:lang w:val="es-BO"/>
            </w:rPr>
          </w:sdtEndPr>
          <w:sdtContent>
            <w:p w:rsidR="004640A6" w:rsidRDefault="004640A6" w:rsidP="004640A6">
              <w:pPr>
                <w:pStyle w:val="TtulodeTDC"/>
                <w:spacing w:line="360" w:lineRule="auto"/>
              </w:pPr>
              <w:r>
                <w:rPr>
                  <w:lang w:val="es-ES"/>
                </w:rPr>
                <w:t>Contenido</w:t>
              </w:r>
            </w:p>
            <w:p w:rsidR="004640A6" w:rsidRDefault="004640A6">
              <w:pPr>
                <w:pStyle w:val="TDC1"/>
                <w:tabs>
                  <w:tab w:val="right" w:leader="dot" w:pos="8828"/>
                </w:tabs>
                <w:rPr>
                  <w:noProof/>
                  <w:lang w:val="es-BO" w:eastAsia="es-BO"/>
                </w:rPr>
              </w:pPr>
              <w:r>
                <w:rPr>
                  <w:b/>
                  <w:bCs/>
                </w:rPr>
                <w:fldChar w:fldCharType="begin"/>
              </w:r>
              <w:r>
                <w:rPr>
                  <w:b/>
                  <w:bCs/>
                </w:rPr>
                <w:instrText xml:space="preserve"> TOC \o "1-3" \h \z \u </w:instrText>
              </w:r>
              <w:r>
                <w:rPr>
                  <w:b/>
                  <w:bCs/>
                </w:rPr>
                <w:fldChar w:fldCharType="separate"/>
              </w:r>
              <w:hyperlink w:anchor="_Toc10276838" w:history="1">
                <w:r w:rsidRPr="00327BBC">
                  <w:rPr>
                    <w:rStyle w:val="Hipervnculo"/>
                    <w:noProof/>
                  </w:rPr>
                  <w:t>LEYES DE PROPIEDAD INTELECTUAL Y DERECHOS DE AUTOR</w:t>
                </w:r>
                <w:r>
                  <w:rPr>
                    <w:noProof/>
                    <w:webHidden/>
                  </w:rPr>
                  <w:tab/>
                </w:r>
                <w:r>
                  <w:rPr>
                    <w:noProof/>
                    <w:webHidden/>
                  </w:rPr>
                  <w:fldChar w:fldCharType="begin"/>
                </w:r>
                <w:r>
                  <w:rPr>
                    <w:noProof/>
                    <w:webHidden/>
                  </w:rPr>
                  <w:instrText xml:space="preserve"> PAGEREF _Toc10276838 \h </w:instrText>
                </w:r>
                <w:r>
                  <w:rPr>
                    <w:noProof/>
                    <w:webHidden/>
                  </w:rPr>
                </w:r>
                <w:r>
                  <w:rPr>
                    <w:noProof/>
                    <w:webHidden/>
                  </w:rPr>
                  <w:fldChar w:fldCharType="separate"/>
                </w:r>
                <w:r>
                  <w:rPr>
                    <w:noProof/>
                    <w:webHidden/>
                  </w:rPr>
                  <w:t>0</w:t>
                </w:r>
                <w:r>
                  <w:rPr>
                    <w:noProof/>
                    <w:webHidden/>
                  </w:rPr>
                  <w:fldChar w:fldCharType="end"/>
                </w:r>
              </w:hyperlink>
            </w:p>
            <w:p w:rsidR="004640A6" w:rsidRDefault="00E22B32">
              <w:pPr>
                <w:pStyle w:val="TDC2"/>
                <w:tabs>
                  <w:tab w:val="right" w:leader="dot" w:pos="8828"/>
                </w:tabs>
                <w:rPr>
                  <w:noProof/>
                  <w:lang w:val="es-BO" w:eastAsia="es-BO"/>
                </w:rPr>
              </w:pPr>
              <w:hyperlink w:anchor="_Toc10276839" w:history="1">
                <w:r w:rsidR="004640A6" w:rsidRPr="00327BBC">
                  <w:rPr>
                    <w:rStyle w:val="Hipervnculo"/>
                    <w:noProof/>
                    <w:lang w:val="es-BO"/>
                  </w:rPr>
                  <w:t>TITULO I. Bienes intelectuales protegidos</w:t>
                </w:r>
                <w:r w:rsidR="004640A6">
                  <w:rPr>
                    <w:noProof/>
                    <w:webHidden/>
                  </w:rPr>
                  <w:tab/>
                </w:r>
                <w:r w:rsidR="004640A6">
                  <w:rPr>
                    <w:noProof/>
                    <w:webHidden/>
                  </w:rPr>
                  <w:fldChar w:fldCharType="begin"/>
                </w:r>
                <w:r w:rsidR="004640A6">
                  <w:rPr>
                    <w:noProof/>
                    <w:webHidden/>
                  </w:rPr>
                  <w:instrText xml:space="preserve"> PAGEREF _Toc10276839 \h </w:instrText>
                </w:r>
                <w:r w:rsidR="004640A6">
                  <w:rPr>
                    <w:noProof/>
                    <w:webHidden/>
                  </w:rPr>
                </w:r>
                <w:r w:rsidR="004640A6">
                  <w:rPr>
                    <w:noProof/>
                    <w:webHidden/>
                  </w:rPr>
                  <w:fldChar w:fldCharType="separate"/>
                </w:r>
                <w:r w:rsidR="004640A6">
                  <w:rPr>
                    <w:noProof/>
                    <w:webHidden/>
                  </w:rPr>
                  <w:t>0</w:t>
                </w:r>
                <w:r w:rsidR="004640A6">
                  <w:rPr>
                    <w:noProof/>
                    <w:webHidden/>
                  </w:rPr>
                  <w:fldChar w:fldCharType="end"/>
                </w:r>
              </w:hyperlink>
            </w:p>
            <w:p w:rsidR="004640A6" w:rsidRDefault="00E22B32">
              <w:pPr>
                <w:pStyle w:val="TDC3"/>
                <w:tabs>
                  <w:tab w:val="right" w:leader="dot" w:pos="8828"/>
                </w:tabs>
                <w:rPr>
                  <w:noProof/>
                  <w:lang w:val="es-BO" w:eastAsia="es-BO"/>
                </w:rPr>
              </w:pPr>
              <w:hyperlink w:anchor="_Toc10276840" w:history="1">
                <w:r w:rsidR="004640A6" w:rsidRPr="00327BBC">
                  <w:rPr>
                    <w:rStyle w:val="Hipervnculo"/>
                    <w:noProof/>
                    <w:lang w:val="es-BO"/>
                  </w:rPr>
                  <w:t>CAPITULO I. Generalidades</w:t>
                </w:r>
                <w:r w:rsidR="004640A6">
                  <w:rPr>
                    <w:noProof/>
                    <w:webHidden/>
                  </w:rPr>
                  <w:tab/>
                </w:r>
                <w:r w:rsidR="004640A6">
                  <w:rPr>
                    <w:noProof/>
                    <w:webHidden/>
                  </w:rPr>
                  <w:fldChar w:fldCharType="begin"/>
                </w:r>
                <w:r w:rsidR="004640A6">
                  <w:rPr>
                    <w:noProof/>
                    <w:webHidden/>
                  </w:rPr>
                  <w:instrText xml:space="preserve"> PAGEREF _Toc10276840 \h </w:instrText>
                </w:r>
                <w:r w:rsidR="004640A6">
                  <w:rPr>
                    <w:noProof/>
                    <w:webHidden/>
                  </w:rPr>
                </w:r>
                <w:r w:rsidR="004640A6">
                  <w:rPr>
                    <w:noProof/>
                    <w:webHidden/>
                  </w:rPr>
                  <w:fldChar w:fldCharType="separate"/>
                </w:r>
                <w:r w:rsidR="004640A6">
                  <w:rPr>
                    <w:noProof/>
                    <w:webHidden/>
                  </w:rPr>
                  <w:t>0</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1" w:history="1">
                <w:r w:rsidR="004640A6" w:rsidRPr="00327BBC">
                  <w:rPr>
                    <w:rStyle w:val="Hipervnculo"/>
                    <w:rFonts w:ascii="Arial" w:hAnsi="Arial" w:cs="Arial"/>
                    <w:noProof/>
                    <w:lang w:val="es-BO"/>
                  </w:rPr>
                  <w:t>TITULO II. De las obras protegidas</w:t>
                </w:r>
                <w:r w:rsidR="004640A6">
                  <w:rPr>
                    <w:noProof/>
                    <w:webHidden/>
                  </w:rPr>
                  <w:tab/>
                </w:r>
                <w:r w:rsidR="004640A6">
                  <w:rPr>
                    <w:noProof/>
                    <w:webHidden/>
                  </w:rPr>
                  <w:fldChar w:fldCharType="begin"/>
                </w:r>
                <w:r w:rsidR="004640A6">
                  <w:rPr>
                    <w:noProof/>
                    <w:webHidden/>
                  </w:rPr>
                  <w:instrText xml:space="preserve"> PAGEREF _Toc10276841 \h </w:instrText>
                </w:r>
                <w:r w:rsidR="004640A6">
                  <w:rPr>
                    <w:noProof/>
                    <w:webHidden/>
                  </w:rPr>
                </w:r>
                <w:r w:rsidR="004640A6">
                  <w:rPr>
                    <w:noProof/>
                    <w:webHidden/>
                  </w:rPr>
                  <w:fldChar w:fldCharType="separate"/>
                </w:r>
                <w:r w:rsidR="004640A6">
                  <w:rPr>
                    <w:noProof/>
                    <w:webHidden/>
                  </w:rPr>
                  <w:t>1</w:t>
                </w:r>
                <w:r w:rsidR="004640A6">
                  <w:rPr>
                    <w:noProof/>
                    <w:webHidden/>
                  </w:rPr>
                  <w:fldChar w:fldCharType="end"/>
                </w:r>
              </w:hyperlink>
            </w:p>
            <w:p w:rsidR="004640A6" w:rsidRDefault="00E22B32">
              <w:pPr>
                <w:pStyle w:val="TDC1"/>
                <w:tabs>
                  <w:tab w:val="right" w:leader="dot" w:pos="8828"/>
                </w:tabs>
                <w:rPr>
                  <w:noProof/>
                  <w:lang w:val="es-BO" w:eastAsia="es-BO"/>
                </w:rPr>
              </w:pPr>
              <w:hyperlink w:anchor="_Toc10276842" w:history="1">
                <w:r w:rsidR="004640A6" w:rsidRPr="00327BBC">
                  <w:rPr>
                    <w:rStyle w:val="Hipervnculo"/>
                    <w:noProof/>
                  </w:rPr>
                  <w:t>LEY DE PROMOCION DE LA INDUSTRIA DEL SOFTWARE</w:t>
                </w:r>
                <w:r w:rsidR="004640A6">
                  <w:rPr>
                    <w:noProof/>
                    <w:webHidden/>
                  </w:rPr>
                  <w:tab/>
                </w:r>
                <w:r w:rsidR="004640A6">
                  <w:rPr>
                    <w:noProof/>
                    <w:webHidden/>
                  </w:rPr>
                  <w:fldChar w:fldCharType="begin"/>
                </w:r>
                <w:r w:rsidR="004640A6">
                  <w:rPr>
                    <w:noProof/>
                    <w:webHidden/>
                  </w:rPr>
                  <w:instrText xml:space="preserve"> PAGEREF _Toc10276842 \h </w:instrText>
                </w:r>
                <w:r w:rsidR="004640A6">
                  <w:rPr>
                    <w:noProof/>
                    <w:webHidden/>
                  </w:rPr>
                </w:r>
                <w:r w:rsidR="004640A6">
                  <w:rPr>
                    <w:noProof/>
                    <w:webHidden/>
                  </w:rPr>
                  <w:fldChar w:fldCharType="separate"/>
                </w:r>
                <w:r w:rsidR="004640A6">
                  <w:rPr>
                    <w:noProof/>
                    <w:webHidden/>
                  </w:rPr>
                  <w:t>4</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3" w:history="1">
                <w:r w:rsidR="004640A6" w:rsidRPr="00327BBC">
                  <w:rPr>
                    <w:rStyle w:val="Hipervnculo"/>
                    <w:noProof/>
                  </w:rPr>
                  <w:t>CAPÍTULO I. Definición, ámbito de aplicación y alcances</w:t>
                </w:r>
                <w:r w:rsidR="004640A6">
                  <w:rPr>
                    <w:noProof/>
                    <w:webHidden/>
                  </w:rPr>
                  <w:tab/>
                </w:r>
                <w:r w:rsidR="004640A6">
                  <w:rPr>
                    <w:noProof/>
                    <w:webHidden/>
                  </w:rPr>
                  <w:fldChar w:fldCharType="begin"/>
                </w:r>
                <w:r w:rsidR="004640A6">
                  <w:rPr>
                    <w:noProof/>
                    <w:webHidden/>
                  </w:rPr>
                  <w:instrText xml:space="preserve"> PAGEREF _Toc10276843 \h </w:instrText>
                </w:r>
                <w:r w:rsidR="004640A6">
                  <w:rPr>
                    <w:noProof/>
                    <w:webHidden/>
                  </w:rPr>
                </w:r>
                <w:r w:rsidR="004640A6">
                  <w:rPr>
                    <w:noProof/>
                    <w:webHidden/>
                  </w:rPr>
                  <w:fldChar w:fldCharType="separate"/>
                </w:r>
                <w:r w:rsidR="004640A6">
                  <w:rPr>
                    <w:noProof/>
                    <w:webHidden/>
                  </w:rPr>
                  <w:t>4</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4" w:history="1">
                <w:r w:rsidR="004640A6" w:rsidRPr="00327BBC">
                  <w:rPr>
                    <w:rStyle w:val="Hipervnculo"/>
                    <w:noProof/>
                  </w:rPr>
                  <w:t>CAPÍTULO II. Tratamiento fiscal para el sector</w:t>
                </w:r>
                <w:r w:rsidR="004640A6">
                  <w:rPr>
                    <w:noProof/>
                    <w:webHidden/>
                  </w:rPr>
                  <w:tab/>
                </w:r>
                <w:r w:rsidR="004640A6">
                  <w:rPr>
                    <w:noProof/>
                    <w:webHidden/>
                  </w:rPr>
                  <w:fldChar w:fldCharType="begin"/>
                </w:r>
                <w:r w:rsidR="004640A6">
                  <w:rPr>
                    <w:noProof/>
                    <w:webHidden/>
                  </w:rPr>
                  <w:instrText xml:space="preserve"> PAGEREF _Toc10276844 \h </w:instrText>
                </w:r>
                <w:r w:rsidR="004640A6">
                  <w:rPr>
                    <w:noProof/>
                    <w:webHidden/>
                  </w:rPr>
                </w:r>
                <w:r w:rsidR="004640A6">
                  <w:rPr>
                    <w:noProof/>
                    <w:webHidden/>
                  </w:rPr>
                  <w:fldChar w:fldCharType="separate"/>
                </w:r>
                <w:r w:rsidR="004640A6">
                  <w:rPr>
                    <w:noProof/>
                    <w:webHidden/>
                  </w:rPr>
                  <w:t>5</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5" w:history="1">
                <w:r w:rsidR="004640A6" w:rsidRPr="00327BBC">
                  <w:rPr>
                    <w:rStyle w:val="Hipervnculo"/>
                    <w:noProof/>
                  </w:rPr>
                  <w:t>CAPÍTULO III. Importaciones</w:t>
                </w:r>
                <w:r w:rsidR="004640A6">
                  <w:rPr>
                    <w:noProof/>
                    <w:webHidden/>
                  </w:rPr>
                  <w:tab/>
                </w:r>
                <w:r w:rsidR="004640A6">
                  <w:rPr>
                    <w:noProof/>
                    <w:webHidden/>
                  </w:rPr>
                  <w:fldChar w:fldCharType="begin"/>
                </w:r>
                <w:r w:rsidR="004640A6">
                  <w:rPr>
                    <w:noProof/>
                    <w:webHidden/>
                  </w:rPr>
                  <w:instrText xml:space="preserve"> PAGEREF _Toc10276845 \h </w:instrText>
                </w:r>
                <w:r w:rsidR="004640A6">
                  <w:rPr>
                    <w:noProof/>
                    <w:webHidden/>
                  </w:rPr>
                </w:r>
                <w:r w:rsidR="004640A6">
                  <w:rPr>
                    <w:noProof/>
                    <w:webHidden/>
                  </w:rPr>
                  <w:fldChar w:fldCharType="separate"/>
                </w:r>
                <w:r w:rsidR="004640A6">
                  <w:rPr>
                    <w:noProof/>
                    <w:webHidden/>
                  </w:rPr>
                  <w:t>7</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6" w:history="1">
                <w:r w:rsidR="004640A6" w:rsidRPr="00327BBC">
                  <w:rPr>
                    <w:rStyle w:val="Hipervnculo"/>
                    <w:noProof/>
                  </w:rPr>
                  <w:t>CAPÍTULO IV. Fondo Fiduciario de Promoción de la Industria del Software (FONSOFT)</w:t>
                </w:r>
                <w:r w:rsidR="004640A6">
                  <w:rPr>
                    <w:noProof/>
                    <w:webHidden/>
                  </w:rPr>
                  <w:tab/>
                </w:r>
                <w:r w:rsidR="004640A6">
                  <w:rPr>
                    <w:noProof/>
                    <w:webHidden/>
                  </w:rPr>
                  <w:fldChar w:fldCharType="begin"/>
                </w:r>
                <w:r w:rsidR="004640A6">
                  <w:rPr>
                    <w:noProof/>
                    <w:webHidden/>
                  </w:rPr>
                  <w:instrText xml:space="preserve"> PAGEREF _Toc10276846 \h </w:instrText>
                </w:r>
                <w:r w:rsidR="004640A6">
                  <w:rPr>
                    <w:noProof/>
                    <w:webHidden/>
                  </w:rPr>
                </w:r>
                <w:r w:rsidR="004640A6">
                  <w:rPr>
                    <w:noProof/>
                    <w:webHidden/>
                  </w:rPr>
                  <w:fldChar w:fldCharType="separate"/>
                </w:r>
                <w:r w:rsidR="004640A6">
                  <w:rPr>
                    <w:noProof/>
                    <w:webHidden/>
                  </w:rPr>
                  <w:t>7</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7" w:history="1">
                <w:r w:rsidR="004640A6" w:rsidRPr="00327BBC">
                  <w:rPr>
                    <w:rStyle w:val="Hipervnculo"/>
                    <w:noProof/>
                  </w:rPr>
                  <w:t>CAPÍTULO V. Infracciones y sanciones</w:t>
                </w:r>
                <w:r w:rsidR="004640A6">
                  <w:rPr>
                    <w:noProof/>
                    <w:webHidden/>
                  </w:rPr>
                  <w:tab/>
                </w:r>
                <w:r w:rsidR="004640A6">
                  <w:rPr>
                    <w:noProof/>
                    <w:webHidden/>
                  </w:rPr>
                  <w:fldChar w:fldCharType="begin"/>
                </w:r>
                <w:r w:rsidR="004640A6">
                  <w:rPr>
                    <w:noProof/>
                    <w:webHidden/>
                  </w:rPr>
                  <w:instrText xml:space="preserve"> PAGEREF _Toc10276847 \h </w:instrText>
                </w:r>
                <w:r w:rsidR="004640A6">
                  <w:rPr>
                    <w:noProof/>
                    <w:webHidden/>
                  </w:rPr>
                </w:r>
                <w:r w:rsidR="004640A6">
                  <w:rPr>
                    <w:noProof/>
                    <w:webHidden/>
                  </w:rPr>
                  <w:fldChar w:fldCharType="separate"/>
                </w:r>
                <w:r w:rsidR="004640A6">
                  <w:rPr>
                    <w:noProof/>
                    <w:webHidden/>
                  </w:rPr>
                  <w:t>9</w:t>
                </w:r>
                <w:r w:rsidR="004640A6">
                  <w:rPr>
                    <w:noProof/>
                    <w:webHidden/>
                  </w:rPr>
                  <w:fldChar w:fldCharType="end"/>
                </w:r>
              </w:hyperlink>
            </w:p>
            <w:p w:rsidR="004640A6" w:rsidRDefault="00E22B32">
              <w:pPr>
                <w:pStyle w:val="TDC2"/>
                <w:tabs>
                  <w:tab w:val="right" w:leader="dot" w:pos="8828"/>
                </w:tabs>
                <w:rPr>
                  <w:noProof/>
                  <w:lang w:val="es-BO" w:eastAsia="es-BO"/>
                </w:rPr>
              </w:pPr>
              <w:hyperlink w:anchor="_Toc10276848" w:history="1">
                <w:r w:rsidR="004640A6" w:rsidRPr="00327BBC">
                  <w:rPr>
                    <w:rStyle w:val="Hipervnculo"/>
                    <w:noProof/>
                  </w:rPr>
                  <w:t>CAPÍTULO VI. Disposiciones Generales</w:t>
                </w:r>
                <w:r w:rsidR="004640A6">
                  <w:rPr>
                    <w:noProof/>
                    <w:webHidden/>
                  </w:rPr>
                  <w:tab/>
                </w:r>
                <w:r w:rsidR="004640A6">
                  <w:rPr>
                    <w:noProof/>
                    <w:webHidden/>
                  </w:rPr>
                  <w:fldChar w:fldCharType="begin"/>
                </w:r>
                <w:r w:rsidR="004640A6">
                  <w:rPr>
                    <w:noProof/>
                    <w:webHidden/>
                  </w:rPr>
                  <w:instrText xml:space="preserve"> PAGEREF _Toc10276848 \h </w:instrText>
                </w:r>
                <w:r w:rsidR="004640A6">
                  <w:rPr>
                    <w:noProof/>
                    <w:webHidden/>
                  </w:rPr>
                </w:r>
                <w:r w:rsidR="004640A6">
                  <w:rPr>
                    <w:noProof/>
                    <w:webHidden/>
                  </w:rPr>
                  <w:fldChar w:fldCharType="separate"/>
                </w:r>
                <w:r w:rsidR="004640A6">
                  <w:rPr>
                    <w:noProof/>
                    <w:webHidden/>
                  </w:rPr>
                  <w:t>9</w:t>
                </w:r>
                <w:r w:rsidR="004640A6">
                  <w:rPr>
                    <w:noProof/>
                    <w:webHidden/>
                  </w:rPr>
                  <w:fldChar w:fldCharType="end"/>
                </w:r>
              </w:hyperlink>
            </w:p>
            <w:p w:rsidR="004640A6" w:rsidRPr="004640A6" w:rsidRDefault="004640A6" w:rsidP="004640A6">
              <w:pPr>
                <w:spacing w:line="360" w:lineRule="auto"/>
                <w:sectPr w:rsidR="004640A6" w:rsidRPr="004640A6" w:rsidSect="001C3C49">
                  <w:headerReference w:type="even" r:id="rId9"/>
                  <w:headerReference w:type="default" r:id="rId10"/>
                  <w:footerReference w:type="even" r:id="rId11"/>
                  <w:footerReference w:type="default" r:id="rId12"/>
                  <w:headerReference w:type="first" r:id="rId13"/>
                  <w:footerReference w:type="first" r:id="rId14"/>
                  <w:pgSz w:w="12240" w:h="15840" w:code="1"/>
                  <w:pgMar w:top="1418" w:right="1701" w:bottom="1418" w:left="1701" w:header="709" w:footer="709"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0"/>
                  <w:cols w:space="708"/>
                  <w:titlePg/>
                  <w:docGrid w:linePitch="360"/>
                </w:sectPr>
              </w:pPr>
              <w:r>
                <w:rPr>
                  <w:b/>
                  <w:bCs/>
                </w:rPr>
                <w:fldChar w:fldCharType="end"/>
              </w:r>
            </w:p>
          </w:sdtContent>
        </w:sdt>
        <w:p w:rsidR="004640A6" w:rsidRDefault="004640A6" w:rsidP="004640A6">
          <w:pPr>
            <w:pStyle w:val="Ttulo1"/>
            <w:spacing w:line="360" w:lineRule="auto"/>
          </w:pPr>
          <w:bookmarkStart w:id="3" w:name="_Toc10276838"/>
          <w:r w:rsidRPr="00661135">
            <w:lastRenderedPageBreak/>
            <w:t>LEYES DE PROPIEDAD INTELECTUAL Y DERECHOS DE AUTOR</w:t>
          </w:r>
        </w:p>
      </w:sdtContent>
    </w:sdt>
    <w:bookmarkEnd w:id="3" w:displacedByCustomXml="prev"/>
    <w:p w:rsidR="004640A6" w:rsidRPr="00661135" w:rsidRDefault="004640A6" w:rsidP="004640A6">
      <w:pPr>
        <w:pStyle w:val="Ttulo2"/>
        <w:spacing w:line="360" w:lineRule="auto"/>
        <w:jc w:val="both"/>
        <w:rPr>
          <w:lang w:val="es-BO"/>
        </w:rPr>
      </w:pPr>
      <w:bookmarkStart w:id="4" w:name="_Toc456367822"/>
      <w:bookmarkStart w:id="5" w:name="_Toc456865988"/>
      <w:bookmarkStart w:id="6" w:name="_Toc10276839"/>
      <w:bookmarkEnd w:id="1"/>
      <w:bookmarkEnd w:id="0"/>
      <w:r>
        <w:rPr>
          <w:lang w:val="es-BO"/>
        </w:rPr>
        <w:t xml:space="preserve">TITULO I. </w:t>
      </w:r>
      <w:r w:rsidRPr="00661135">
        <w:rPr>
          <w:lang w:val="es-BO"/>
        </w:rPr>
        <w:t>Bienes intelectuales protegidos</w:t>
      </w:r>
      <w:bookmarkEnd w:id="4"/>
      <w:bookmarkEnd w:id="5"/>
      <w:bookmarkEnd w:id="6"/>
    </w:p>
    <w:p w:rsidR="004640A6" w:rsidRPr="004640A6" w:rsidRDefault="004640A6" w:rsidP="004640A6">
      <w:pPr>
        <w:pStyle w:val="Ttulo3"/>
        <w:spacing w:line="360" w:lineRule="auto"/>
      </w:pPr>
      <w:bookmarkStart w:id="7" w:name="_Toc456367823"/>
      <w:bookmarkStart w:id="8" w:name="_Toc456865989"/>
      <w:bookmarkStart w:id="9" w:name="_Toc10276840"/>
      <w:r w:rsidRPr="00661135">
        <w:rPr>
          <w:lang w:val="es-BO"/>
        </w:rPr>
        <w:t>CAPITULO I</w:t>
      </w:r>
      <w:r>
        <w:rPr>
          <w:lang w:val="es-BO"/>
        </w:rPr>
        <w:t>.</w:t>
      </w:r>
      <w:r w:rsidRPr="00661135">
        <w:rPr>
          <w:lang w:val="es-BO"/>
        </w:rPr>
        <w:t xml:space="preserve"> Generalidades</w:t>
      </w:r>
      <w:bookmarkEnd w:id="7"/>
      <w:bookmarkEnd w:id="8"/>
      <w:bookmarkEnd w:id="9"/>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Artículo 1.-</w:t>
      </w:r>
      <w:r w:rsidRPr="004640A6">
        <w:rPr>
          <w:rFonts w:ascii="Arial" w:hAnsi="Arial" w:cs="Arial"/>
          <w:sz w:val="24"/>
          <w:szCs w:val="24"/>
        </w:rPr>
        <w:t xml:space="preserve"> Las disposiciones de la presente Ley son de orden público y se reputan de interés social, regulan el régimen de protección del derecho de los autores sobre las obras del ingenio de carácter original sean de índole literaria, artística o científica y los derechos conexos que ella determina.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El derecho de autor comprende a los derechos morales que amparan la paternidad e integridad de la obra y los derechos patrimoniales que protegen el aprovechamiento económico de la misma.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Además, salvaguarda el acervo cultural de la nación.</w:t>
      </w:r>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Artículo 2.-</w:t>
      </w:r>
      <w:r w:rsidRPr="004640A6">
        <w:rPr>
          <w:rFonts w:ascii="Arial" w:hAnsi="Arial" w:cs="Arial"/>
          <w:sz w:val="24"/>
          <w:szCs w:val="24"/>
        </w:rPr>
        <w:t xml:space="preserve"> El derecho de autor nace con la creación de la obra sin que sea necesario registro, depósito, ni ninguna otra formalidad para obtener la protección reconocida por la presente Ley.</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Las formalidades que en ella se establecen son para la mayor seguridad jurídica de los titulares de los derechos que se protegen.</w:t>
      </w:r>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 xml:space="preserve">Artículo 3.- </w:t>
      </w:r>
      <w:r w:rsidRPr="004640A6">
        <w:rPr>
          <w:rFonts w:ascii="Arial" w:hAnsi="Arial" w:cs="Arial"/>
          <w:sz w:val="24"/>
          <w:szCs w:val="24"/>
        </w:rPr>
        <w:t>La presente Ley ampara los derechos de todos los autores bolivianos, de los extranjeros domiciliados en el país y las obras de extranjeros publicadas por primera vez en el país.</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Los extranjeros no domiciliados en el país gozarán de la protección de esta Ley, en la medida que les corresponda en virtud de los convenios y tratados internacionales en los que Bolivia sea parte. En su defecto, estarán equiparados a los bolivianos cuando éstos, a su vez, lo estén a los nacionales en el país respectivo.</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Para los efectos de esta Ley, los autores apátridas, refugiados o de nacionalidad controvertida serán considerados como nacionales del país donde tengan establecido su domicilio.</w:t>
      </w:r>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 xml:space="preserve">Artículo 4.- </w:t>
      </w:r>
      <w:r w:rsidRPr="004640A6">
        <w:rPr>
          <w:rFonts w:ascii="Arial" w:hAnsi="Arial" w:cs="Arial"/>
          <w:sz w:val="24"/>
          <w:szCs w:val="24"/>
        </w:rPr>
        <w:t xml:space="preserve">Esta Ley protege exclusivamente la forma literaria, plástica o sonora, mediante la cual las ideas del autor son descritas, explicadas, ilustradas o incorporadas en las obras literarias, científicas o artísticas. No son objetos de </w:t>
      </w:r>
      <w:r w:rsidRPr="004640A6">
        <w:rPr>
          <w:rFonts w:ascii="Arial" w:hAnsi="Arial" w:cs="Arial"/>
          <w:sz w:val="24"/>
          <w:szCs w:val="24"/>
        </w:rPr>
        <w:lastRenderedPageBreak/>
        <w:t>protección las ideas contenidas en las obras literarias y artísticas, o el contenido ideológico o técnico de las obras científicas ni su aprovechamiento industrial o comercial.</w:t>
      </w:r>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 xml:space="preserve">Artículo 5.- </w:t>
      </w:r>
      <w:r w:rsidRPr="004640A6">
        <w:rPr>
          <w:rFonts w:ascii="Arial" w:hAnsi="Arial" w:cs="Arial"/>
          <w:sz w:val="24"/>
          <w:szCs w:val="24"/>
        </w:rPr>
        <w:t>Para los efectos de esta Ley se entenderá por:</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a) Obra individual: La que sea producida por una sola persona natural.</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b) Obra en colaboración: La que es producida en común por dos o más autores. Será colaboración divisible cuando el aporte de cada autor se identifique claramente.</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c) Obra colectiva: La creada por un grupo de autores, por iniciativa y bajo la orientación de la persona natural o jurídica que la coordine, divulgue y publique bajo su nombre.</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d) Obra anónima: Aquélla en que no se menciona el nombre del autor por voluntad del mismo.</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e) Obra seudónima: Aquélla en que el autor se oculta bajo un seudónimo, iniciales, siglas o signos, que no lo identifiquen.</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f) Obra inédita: Aquélla que no haya sido dada a conocer al público.</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g) Obra póstuma: Aquélla que es divulgada sólo después de la muerte de su autor.</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h) Obra originaria: Aquélla que es primigeniamente creada.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i) Obra derivada: Aquélla que resulta de la adaptación, traducción u otra transformación de una obra originaria siempre que constituya una creación autónoma.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j) Artista, intérprete o ejecutante: El actor, locutor, narrador, declamador, cantante, bailarín, músico o cualquier otra persona que interprete o ejecute una obra literaria o artística.</w:t>
      </w:r>
    </w:p>
    <w:p w:rsidR="004640A6" w:rsidRPr="004640A6" w:rsidRDefault="004640A6" w:rsidP="004640A6">
      <w:pPr>
        <w:pStyle w:val="Ttulo2"/>
        <w:spacing w:line="360" w:lineRule="auto"/>
        <w:jc w:val="both"/>
        <w:rPr>
          <w:rFonts w:ascii="Arial" w:hAnsi="Arial" w:cs="Arial"/>
          <w:sz w:val="24"/>
          <w:szCs w:val="24"/>
          <w:lang w:val="es-BO"/>
        </w:rPr>
      </w:pPr>
      <w:bookmarkStart w:id="10" w:name="_Toc456367824"/>
      <w:bookmarkStart w:id="11" w:name="_Toc456865990"/>
      <w:bookmarkStart w:id="12" w:name="_Toc10276841"/>
      <w:r w:rsidRPr="004640A6">
        <w:rPr>
          <w:rFonts w:ascii="Arial" w:hAnsi="Arial" w:cs="Arial"/>
          <w:sz w:val="24"/>
          <w:szCs w:val="24"/>
          <w:lang w:val="es-BO"/>
        </w:rPr>
        <w:t>TITULO II</w:t>
      </w:r>
      <w:r>
        <w:rPr>
          <w:rFonts w:ascii="Arial" w:hAnsi="Arial" w:cs="Arial"/>
          <w:sz w:val="24"/>
          <w:szCs w:val="24"/>
          <w:lang w:val="es-BO"/>
        </w:rPr>
        <w:t>.</w:t>
      </w:r>
      <w:r w:rsidRPr="004640A6">
        <w:rPr>
          <w:rFonts w:ascii="Arial" w:hAnsi="Arial" w:cs="Arial"/>
          <w:sz w:val="24"/>
          <w:szCs w:val="24"/>
          <w:lang w:val="es-BO"/>
        </w:rPr>
        <w:t xml:space="preserve"> De las obras protegidas</w:t>
      </w:r>
      <w:bookmarkEnd w:id="10"/>
      <w:bookmarkEnd w:id="11"/>
      <w:bookmarkEnd w:id="12"/>
    </w:p>
    <w:p w:rsidR="004640A6" w:rsidRPr="004640A6" w:rsidRDefault="004640A6" w:rsidP="004640A6">
      <w:pPr>
        <w:spacing w:line="360" w:lineRule="auto"/>
        <w:jc w:val="both"/>
        <w:rPr>
          <w:rFonts w:ascii="Arial" w:hAnsi="Arial" w:cs="Arial"/>
          <w:sz w:val="24"/>
          <w:szCs w:val="24"/>
        </w:rPr>
      </w:pPr>
      <w:r w:rsidRPr="004640A6">
        <w:rPr>
          <w:rFonts w:ascii="Arial" w:hAnsi="Arial" w:cs="Arial"/>
          <w:b/>
          <w:sz w:val="24"/>
          <w:szCs w:val="24"/>
        </w:rPr>
        <w:t xml:space="preserve">Artículo 6.- </w:t>
      </w:r>
      <w:r w:rsidRPr="004640A6">
        <w:rPr>
          <w:rFonts w:ascii="Arial" w:hAnsi="Arial" w:cs="Arial"/>
          <w:sz w:val="24"/>
          <w:szCs w:val="24"/>
        </w:rPr>
        <w:t>Esta Ley protege los derechos de los autores sobre sus obras literarias, artísticas y científicas, cualesquiera que sean el modo o la forma de expresión empleado y cualquiera sea su destino; ella comprende especialmente:</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lastRenderedPageBreak/>
        <w:t>a) Los libros, folletos, artículos y otros escritos.</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b) Las conferencias, discursos, lecciones, sermones, comentarios y obras de la misma naturaleza.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c) Las obras dramáticas o dramático-musicales.</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d) Las obras coreográficas y pantomímicas, cuya representación se fije por escrito o de otra manera.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e) Las composiciones musicales, con letra o sin ella.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 xml:space="preserve">f) Las obras cinematográficas y </w:t>
      </w:r>
      <w:proofErr w:type="spellStart"/>
      <w:r w:rsidRPr="004640A6">
        <w:rPr>
          <w:rFonts w:ascii="Arial" w:hAnsi="Arial" w:cs="Arial"/>
          <w:sz w:val="24"/>
          <w:szCs w:val="24"/>
        </w:rPr>
        <w:t>videogramas</w:t>
      </w:r>
      <w:proofErr w:type="spellEnd"/>
      <w:r w:rsidRPr="004640A6">
        <w:rPr>
          <w:rFonts w:ascii="Arial" w:hAnsi="Arial" w:cs="Arial"/>
          <w:sz w:val="24"/>
          <w:szCs w:val="24"/>
        </w:rPr>
        <w:t>, cualquiera sea el soporte o procedimiento empleado.</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g) Las obras de dibujo, pintura, arquitectura, escultura, grabado o litografía.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h) Las obras fotográficas a las cuales se asimilan las expresadas por procedimiento análogo a la fotografía.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i) Las obras de artes aplicadas, incluyendo las obras de artesanía.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j) Las ilustraciones, mapas, planos, croquis y obras plásticas relativas a la geografía, la topografía, la arquitectura o a las ciencias.</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k) Los bocetos escenográficos y las respectivas escenografías.</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l) Los programas de ordenador o computación (soporte lógico o software) bajo reglamentación específica.</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Es objeto de protección de esta Ley toda creación literaria, artística o científica, cualquiera sea la forma de expresión y el medio o soporte, tangible o intangible actualmente conocido o que se conozca en el futuro.</w:t>
      </w:r>
    </w:p>
    <w:p w:rsidR="004640A6" w:rsidRPr="004640A6" w:rsidRDefault="004640A6" w:rsidP="004640A6">
      <w:pPr>
        <w:spacing w:line="360" w:lineRule="auto"/>
        <w:jc w:val="both"/>
        <w:rPr>
          <w:rFonts w:ascii="Arial" w:hAnsi="Arial" w:cs="Arial"/>
          <w:b/>
          <w:sz w:val="24"/>
          <w:szCs w:val="24"/>
        </w:rPr>
      </w:pPr>
      <w:r w:rsidRPr="004640A6">
        <w:rPr>
          <w:rFonts w:ascii="Arial" w:hAnsi="Arial" w:cs="Arial"/>
          <w:b/>
          <w:sz w:val="24"/>
          <w:szCs w:val="24"/>
        </w:rPr>
        <w:t xml:space="preserve">Artículo 7.- </w:t>
      </w:r>
      <w:r w:rsidRPr="004640A6">
        <w:rPr>
          <w:rFonts w:ascii="Arial" w:hAnsi="Arial" w:cs="Arial"/>
          <w:sz w:val="24"/>
          <w:szCs w:val="24"/>
        </w:rPr>
        <w:t>Las obras derivadas son protegidas como obras independientes, sin perjuicio de los derechos de autor sobre las obras originarias, cuando representen una creación original:</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t>a) Las traducciones, adaptaciones, arreglos musicales y otras transformaciones de una obra literaria o artística. Cuando la obra originaria se encuentre en el dominio privado se requerirá la previa autorización expresa de su titular original.</w:t>
      </w:r>
    </w:p>
    <w:p w:rsidR="004640A6" w:rsidRPr="004640A6" w:rsidRDefault="004640A6" w:rsidP="004640A6">
      <w:pPr>
        <w:spacing w:line="360" w:lineRule="auto"/>
        <w:jc w:val="both"/>
        <w:rPr>
          <w:rFonts w:ascii="Arial" w:hAnsi="Arial" w:cs="Arial"/>
          <w:sz w:val="24"/>
          <w:szCs w:val="24"/>
        </w:rPr>
      </w:pPr>
      <w:r w:rsidRPr="004640A6">
        <w:rPr>
          <w:rFonts w:ascii="Arial" w:hAnsi="Arial" w:cs="Arial"/>
          <w:sz w:val="24"/>
          <w:szCs w:val="24"/>
        </w:rPr>
        <w:lastRenderedPageBreak/>
        <w:t>b) Las obras colectivas, de carácter literario, artístico o científico, tales como las enciclopedias y antologías que, debido a la selección o disposición de las materias, constituyen una creación intelectual sin perjuicio de los derechos de los autores sobre sus respectivas participaciones en aquéllas.</w:t>
      </w:r>
    </w:p>
    <w:p w:rsidR="004640A6" w:rsidRDefault="004640A6" w:rsidP="004640A6">
      <w:pPr>
        <w:jc w:val="both"/>
        <w:rPr>
          <w:rFonts w:asciiTheme="majorHAnsi" w:eastAsiaTheme="majorEastAsia" w:hAnsiTheme="majorHAnsi" w:cstheme="majorBidi"/>
          <w:color w:val="2E74B5" w:themeColor="accent1" w:themeShade="BF"/>
          <w:sz w:val="32"/>
          <w:szCs w:val="32"/>
        </w:rPr>
      </w:pPr>
      <w:r>
        <w:br w:type="page"/>
      </w:r>
    </w:p>
    <w:p w:rsidR="004640A6" w:rsidRPr="00661135" w:rsidRDefault="004640A6" w:rsidP="004640A6">
      <w:pPr>
        <w:pStyle w:val="Ttulo1"/>
        <w:spacing w:line="360" w:lineRule="auto"/>
        <w:jc w:val="both"/>
      </w:pPr>
      <w:bookmarkStart w:id="13" w:name="_Toc456367825"/>
      <w:bookmarkStart w:id="14" w:name="_Toc456865991"/>
      <w:bookmarkStart w:id="15" w:name="_Toc10276842"/>
      <w:r>
        <w:lastRenderedPageBreak/>
        <w:t>LEY DE PROMOCION DE LA INDUSTRIA DEL SOFTWARE</w:t>
      </w:r>
      <w:bookmarkEnd w:id="13"/>
      <w:bookmarkEnd w:id="14"/>
      <w:bookmarkEnd w:id="15"/>
    </w:p>
    <w:p w:rsidR="004640A6" w:rsidRDefault="004640A6" w:rsidP="004640A6">
      <w:pPr>
        <w:pStyle w:val="Ttulo2"/>
        <w:spacing w:line="360" w:lineRule="auto"/>
      </w:pPr>
      <w:bookmarkStart w:id="16" w:name="_Toc456367826"/>
      <w:bookmarkStart w:id="17" w:name="_Toc456865992"/>
      <w:bookmarkStart w:id="18" w:name="_Toc10276843"/>
      <w:r w:rsidRPr="00661135">
        <w:t>CAPÍTULO I</w:t>
      </w:r>
      <w:r>
        <w:t>.</w:t>
      </w:r>
      <w:r w:rsidRPr="00661135">
        <w:t xml:space="preserve"> </w:t>
      </w:r>
      <w:r w:rsidRPr="00DD3485">
        <w:t>Definición</w:t>
      </w:r>
      <w:r w:rsidRPr="00661135">
        <w:t>, ámbito de aplicación y alcances</w:t>
      </w:r>
      <w:bookmarkEnd w:id="16"/>
      <w:bookmarkEnd w:id="17"/>
      <w:bookmarkEnd w:id="18"/>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 </w:t>
      </w:r>
      <w:r w:rsidRPr="004640A6">
        <w:rPr>
          <w:rFonts w:ascii="Arial" w:hAnsi="Arial" w:cs="Arial"/>
          <w:sz w:val="24"/>
        </w:rPr>
        <w:t>Créase un Régimen de Promoción de la Industria del Software que regirá en todo el territorio nacional con los alcances y limitaciones establecidas en la presente Ley y las normas reglamentarias que en su consecuencia dicte el Poder Ejecutivo Nacional. El presente régimen estará enmarcado en las políticas estratégicas que a tal efecto establezca el Poder Ejecutivo Nacional a través de sus organismos competentes y tendrá vigencia durante el plazo de diez años a partir de su aprobación.</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2.-</w:t>
      </w:r>
      <w:r w:rsidRPr="004640A6">
        <w:rPr>
          <w:rFonts w:ascii="Arial" w:hAnsi="Arial" w:cs="Arial"/>
          <w:sz w:val="24"/>
        </w:rPr>
        <w:t xml:space="preserve"> Podrán acogerse al presente régimen de promoción las personas físicas y jurídicas constituidas en el estado Plurinacional, cuya actividad principal sea la industria del software, que se encuentren habilitadas para actuar dentro de su territorio con ajuste a sus leyes, debidamente inscriptas conforme a las mismas y desarrollen en el país y por cuenta propia las actividades definidas en el artículo 4°.</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3.-</w:t>
      </w:r>
      <w:r w:rsidRPr="004640A6">
        <w:rPr>
          <w:rFonts w:ascii="Arial" w:hAnsi="Arial" w:cs="Arial"/>
          <w:sz w:val="24"/>
        </w:rPr>
        <w:t xml:space="preserve"> Los interesados en acogerse al presente régimen deberán inscribirse en el registro habilitado por la Autoridad de Aplicación. Facultase a la Autoridad de Aplicación a celebrar los respectivos convenios con las gobernaciones que adhieran al presente régimen, con el objeto de facilitar y garantizar la inscripción de los interesados de cada jurisdicción en el registro habilitado por el párrafo anterior.</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4.-</w:t>
      </w:r>
      <w:r w:rsidRPr="004640A6">
        <w:rPr>
          <w:rFonts w:ascii="Arial" w:hAnsi="Arial" w:cs="Arial"/>
          <w:sz w:val="24"/>
        </w:rPr>
        <w:t xml:space="preserve"> Las actividades comprendidas en el Régimen establecido por la ley son la creación, diseño, desarrollo, producción e implementación y puesta a punto de los sistemas de software desarrollados y su documentación técnica asociada, tanto en su aspecto básico como aplicativo, incluyendo el que se elabore para ser incorporado a procesadores utilizados en bienes de diversa índole, tales como consolas, centrales telefónicas, telefonía celular, máquinas y otros dispositivos. Queda excluida del régimen establecido en la presente ley la actividad de auto desarrollo de software.</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5.- </w:t>
      </w:r>
      <w:r w:rsidRPr="004640A6">
        <w:rPr>
          <w:rFonts w:ascii="Arial" w:hAnsi="Arial" w:cs="Arial"/>
          <w:sz w:val="24"/>
        </w:rPr>
        <w:t xml:space="preserve">A los fines de la presente ley, se define el software como la expresión organizada de un conjunto de órdenes o instrucciones en cualquier lenguaje de </w:t>
      </w:r>
      <w:r w:rsidRPr="004640A6">
        <w:rPr>
          <w:rFonts w:ascii="Arial" w:hAnsi="Arial" w:cs="Arial"/>
          <w:sz w:val="24"/>
        </w:rPr>
        <w:lastRenderedPageBreak/>
        <w:t>alto nivel, de nivel intermedio, de ensamblaje o de máquina, organizadas en estructuras de diversas secuencias y combinaciones, almacenadas en medio magnético, óptico, eléctrico, discos, chips, circuitos, o cualquier otro que resulte apropiado o que se desarrolle en el futuro, previsto para que una computadora o cualquier máquina con capacidad de procesamiento de información ejecute una función específica, disponiendo o no de datos, directa o indirectamente.</w:t>
      </w:r>
      <w:bookmarkStart w:id="19" w:name="_Toc456367827"/>
    </w:p>
    <w:p w:rsidR="004640A6" w:rsidRDefault="004640A6" w:rsidP="004640A6">
      <w:pPr>
        <w:pStyle w:val="Ttulo2"/>
        <w:spacing w:line="360" w:lineRule="auto"/>
      </w:pPr>
      <w:bookmarkStart w:id="20" w:name="_Toc456865993"/>
      <w:bookmarkStart w:id="21" w:name="_Toc10276844"/>
      <w:r>
        <w:t>CAPÍTULO II. Tratamiento fiscal para el sector</w:t>
      </w:r>
      <w:bookmarkEnd w:id="19"/>
      <w:bookmarkEnd w:id="20"/>
      <w:bookmarkEnd w:id="21"/>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6.-</w:t>
      </w:r>
      <w:r w:rsidRPr="004640A6">
        <w:rPr>
          <w:rFonts w:ascii="Arial" w:hAnsi="Arial" w:cs="Arial"/>
          <w:sz w:val="24"/>
        </w:rPr>
        <w:t xml:space="preserve"> A los sujetos que desarrollen las actividades comprendidas en el presente régimen de acuerdo a las disposiciones del Capítulo Primero, les será aplicable el régimen tributario general con las modificaciones que se establecen en el presente Capítulo. Los beneficiarios que adhieran al presente régimen deberán estar en curso normal de cumplimiento de sus obligaciones impositivas y previsionales.</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7.-</w:t>
      </w:r>
      <w:r w:rsidRPr="004640A6">
        <w:rPr>
          <w:rFonts w:ascii="Arial" w:hAnsi="Arial" w:cs="Arial"/>
          <w:sz w:val="24"/>
        </w:rPr>
        <w:t xml:space="preserve"> Los sujetos que adhieran a este régimen gozarán de estabilidad fiscal por el término de diez (10) años contados a partir del momento de la entrada en vigencia de la presente Ley. La estabilidad fiscal alcanza a todos los tributos nacionales entendiéndose por tales los impuestos directos, tasas y contribuciones impositivas que tengan como sujetos pasivos a los beneficiarios inscriptos. La estabilidad fiscal significa que los sujetos que desarrollen actividades de producción de software no podrán ver incrementada su carga tributaria total nacional al momento de la incorporación de la empresa al presente marco normativo general.</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8.- </w:t>
      </w:r>
      <w:r w:rsidRPr="004640A6">
        <w:rPr>
          <w:rFonts w:ascii="Arial" w:hAnsi="Arial" w:cs="Arial"/>
          <w:sz w:val="24"/>
        </w:rPr>
        <w:t xml:space="preserve">Los beneficiarios del régimen de la presente ley que desempeñen actividades de investigación y desarrollo en software y/o procesos de certificación de calidad de software desarrollado en el territorio nacional y/o exportaciones de software podrán convertir en un bono de crédito fiscal intransferible hasta el 70 % (setenta por ciento) de las contribuciones patronales que hayan efectivamente pagado sobre la nómina salarial total de la empresa con destino a los sistemas y subsistemas de seguridad social previstos en las Leyes y Sistema Jubilaciones y Pensiones. Los beneficiarios podrán utilizar dichos bonos para la cancelación de tributos nacionales que tengan origen en la Industria del Software, en particular el Impuesto al Valor Agregado (IVA) u otros </w:t>
      </w:r>
      <w:r w:rsidRPr="004640A6">
        <w:rPr>
          <w:rFonts w:ascii="Arial" w:hAnsi="Arial" w:cs="Arial"/>
          <w:sz w:val="24"/>
        </w:rPr>
        <w:lastRenderedPageBreak/>
        <w:t>impuestos nacionales y sus anticipos en caso de proceder, excluido el Impuesto a las Ganancias. El bono no podrá utilizarse para cancelar deudas anteriores a la efectiva incorporación del beneficiario al régimen de la presente ley y en ningún caso, eventuales saldos a su favor harán lugar a reintegros o devoluciones por parte del Estado.</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9.-</w:t>
      </w:r>
      <w:r w:rsidRPr="004640A6">
        <w:rPr>
          <w:rFonts w:ascii="Arial" w:hAnsi="Arial" w:cs="Arial"/>
          <w:sz w:val="24"/>
        </w:rPr>
        <w:t xml:space="preserve"> Los sujetos adheridos al régimen de promoción establecido por la presente ley tendrán una desgravación del 60% en el monto total del Impuesto a las Ganancias determinado en cada ejercicio. Este beneficio alcanzará a quienes acrediten gastos de investigación y desarrollo y/o procesos de certificación de calidad y/o exportaciones de software, en las magnitudes que determine la Autoridad de Aplicación.</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10.-</w:t>
      </w:r>
      <w:r w:rsidRPr="004640A6">
        <w:rPr>
          <w:rFonts w:ascii="Arial" w:hAnsi="Arial" w:cs="Arial"/>
          <w:sz w:val="24"/>
        </w:rPr>
        <w:t xml:space="preserve"> A los efectos de la percepción de los beneficios establecidos en los artículos precedentes, los sujetos que adhieran al presente régimen deberán cumplir con alguna norma de calidad reconocida aplicable a los productos de software. Esta exigencia comenzará a regir a partir del tercer año de vigencia del presente marco promocional.</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11.-</w:t>
      </w:r>
      <w:r w:rsidRPr="004640A6">
        <w:rPr>
          <w:rFonts w:ascii="Arial" w:hAnsi="Arial" w:cs="Arial"/>
          <w:sz w:val="24"/>
        </w:rPr>
        <w:t xml:space="preserve"> Los sujetos que adhieran a los beneficios establecidos en la presente ley que además de la industria del software como actividad principal, desarrollen otras de distinta naturaleza, llevarán su contabilidad de manera tal que permita la determinación y evaluación en forma separada de la actividad promovida del resto de las desarrolladas. </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Las imputaciones de gastos compartidos con actividades ajenas a las promovidas se atribuirán contablemente respetando criterios objetivos de reparto como cantidad de personal empleado, monto de salarios pagados, espacio físico asignado u otros, siendo esta enumeración meramente enunciativa y no limitativa. Serán declarados y presentados anualmente a la autoridad de aplicación en la forma y tiempo que esta establezca los porcentuales de apropiación de gastos entre las actividad</w:t>
      </w:r>
      <w:bookmarkStart w:id="22" w:name="_Toc456367828"/>
      <w:r w:rsidRPr="004640A6">
        <w:rPr>
          <w:rFonts w:ascii="Arial" w:hAnsi="Arial" w:cs="Arial"/>
          <w:sz w:val="24"/>
        </w:rPr>
        <w:t>es distintas y su justificativo</w:t>
      </w:r>
    </w:p>
    <w:p w:rsidR="004640A6" w:rsidRDefault="004640A6" w:rsidP="004640A6">
      <w:pPr>
        <w:spacing w:line="360" w:lineRule="auto"/>
        <w:jc w:val="both"/>
      </w:pPr>
    </w:p>
    <w:p w:rsidR="004640A6" w:rsidRDefault="004640A6" w:rsidP="004640A6">
      <w:pPr>
        <w:pStyle w:val="Ttulo2"/>
        <w:spacing w:line="360" w:lineRule="auto"/>
      </w:pPr>
      <w:bookmarkStart w:id="23" w:name="_Toc456865994"/>
      <w:bookmarkStart w:id="24" w:name="_Toc10276845"/>
      <w:r>
        <w:lastRenderedPageBreak/>
        <w:t>CAPÍTULO III. Importaciones</w:t>
      </w:r>
      <w:bookmarkEnd w:id="22"/>
      <w:bookmarkEnd w:id="23"/>
      <w:bookmarkEnd w:id="24"/>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12.- </w:t>
      </w:r>
      <w:r w:rsidRPr="004640A6">
        <w:rPr>
          <w:rFonts w:ascii="Arial" w:hAnsi="Arial" w:cs="Arial"/>
          <w:sz w:val="24"/>
        </w:rPr>
        <w:t>Las importaciones de productos informáticos que realicen los sujetos que adhieran al presente Régimen de Promoción quedan excluidas de cualquier tipo de restricción presente o futura para el giro de divisas que se correspondan al pago de importaciones de hardware y demás componentes de uso informático que sean necesarios paras las actividades de producción de software.</w:t>
      </w:r>
    </w:p>
    <w:p w:rsidR="004640A6" w:rsidRDefault="004640A6" w:rsidP="004640A6">
      <w:pPr>
        <w:pStyle w:val="Ttulo2"/>
        <w:spacing w:line="360" w:lineRule="auto"/>
      </w:pPr>
      <w:bookmarkStart w:id="25" w:name="_Toc456367829"/>
      <w:bookmarkStart w:id="26" w:name="_Toc456865995"/>
      <w:bookmarkStart w:id="27" w:name="_Toc10276846"/>
      <w:r>
        <w:t>CAPÍTULO IV. Fondo Fiduciario de Promoción de la Industria del Software (FONSOFT)</w:t>
      </w:r>
      <w:bookmarkEnd w:id="25"/>
      <w:bookmarkEnd w:id="26"/>
      <w:bookmarkEnd w:id="27"/>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13.- </w:t>
      </w:r>
      <w:r w:rsidRPr="004640A6">
        <w:rPr>
          <w:rFonts w:ascii="Arial" w:hAnsi="Arial" w:cs="Arial"/>
          <w:sz w:val="24"/>
        </w:rPr>
        <w:t>Créase el Fondo Fiduciario de Promoción de la Industria del Software (FONSOFT), el cual será integrado por:</w:t>
      </w:r>
    </w:p>
    <w:p w:rsidR="004640A6" w:rsidRPr="004640A6" w:rsidRDefault="004640A6" w:rsidP="004640A6">
      <w:pPr>
        <w:pStyle w:val="Prrafodelista"/>
        <w:numPr>
          <w:ilvl w:val="0"/>
          <w:numId w:val="26"/>
        </w:numPr>
        <w:spacing w:line="360" w:lineRule="auto"/>
        <w:jc w:val="both"/>
        <w:rPr>
          <w:rFonts w:ascii="Arial" w:hAnsi="Arial" w:cs="Arial"/>
          <w:sz w:val="24"/>
        </w:rPr>
      </w:pPr>
      <w:r w:rsidRPr="004640A6">
        <w:rPr>
          <w:rFonts w:ascii="Arial" w:hAnsi="Arial" w:cs="Arial"/>
          <w:sz w:val="24"/>
        </w:rPr>
        <w:t>Los recursos que anualmente se asignen a través de la ley de presupuesto.</w:t>
      </w:r>
    </w:p>
    <w:p w:rsidR="004640A6" w:rsidRPr="004640A6" w:rsidRDefault="004640A6" w:rsidP="004640A6">
      <w:pPr>
        <w:pStyle w:val="Prrafodelista"/>
        <w:numPr>
          <w:ilvl w:val="0"/>
          <w:numId w:val="26"/>
        </w:numPr>
        <w:spacing w:line="360" w:lineRule="auto"/>
        <w:jc w:val="both"/>
        <w:rPr>
          <w:rFonts w:ascii="Arial" w:hAnsi="Arial" w:cs="Arial"/>
          <w:sz w:val="24"/>
        </w:rPr>
      </w:pPr>
      <w:r w:rsidRPr="004640A6">
        <w:rPr>
          <w:rFonts w:ascii="Arial" w:hAnsi="Arial" w:cs="Arial"/>
          <w:sz w:val="24"/>
        </w:rPr>
        <w:t>Los ingresos por las penalidades previstas ante el incumplimiento de la presente ley</w:t>
      </w:r>
    </w:p>
    <w:p w:rsidR="004640A6" w:rsidRPr="004640A6" w:rsidRDefault="004640A6" w:rsidP="004640A6">
      <w:pPr>
        <w:pStyle w:val="Prrafodelista"/>
        <w:numPr>
          <w:ilvl w:val="0"/>
          <w:numId w:val="26"/>
        </w:numPr>
        <w:spacing w:line="360" w:lineRule="auto"/>
        <w:jc w:val="both"/>
        <w:rPr>
          <w:rFonts w:ascii="Arial" w:hAnsi="Arial" w:cs="Arial"/>
          <w:sz w:val="24"/>
        </w:rPr>
      </w:pPr>
      <w:r w:rsidRPr="004640A6">
        <w:rPr>
          <w:rFonts w:ascii="Arial" w:hAnsi="Arial" w:cs="Arial"/>
          <w:sz w:val="24"/>
        </w:rPr>
        <w:t>Ingresos por legados o donaciones.</w:t>
      </w:r>
    </w:p>
    <w:p w:rsidR="004640A6" w:rsidRPr="004640A6" w:rsidRDefault="004640A6" w:rsidP="004640A6">
      <w:pPr>
        <w:pStyle w:val="Prrafodelista"/>
        <w:numPr>
          <w:ilvl w:val="0"/>
          <w:numId w:val="26"/>
        </w:numPr>
        <w:spacing w:line="360" w:lineRule="auto"/>
        <w:jc w:val="both"/>
        <w:rPr>
          <w:rFonts w:ascii="Arial" w:hAnsi="Arial" w:cs="Arial"/>
          <w:sz w:val="24"/>
        </w:rPr>
      </w:pPr>
      <w:r w:rsidRPr="004640A6">
        <w:rPr>
          <w:rFonts w:ascii="Arial" w:hAnsi="Arial" w:cs="Arial"/>
          <w:sz w:val="24"/>
        </w:rPr>
        <w:t>Fondos provistos por organismos internacionales u organizaciones no gubernamentales.</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14.- </w:t>
      </w:r>
      <w:r w:rsidRPr="004640A6">
        <w:rPr>
          <w:rFonts w:ascii="Arial" w:hAnsi="Arial" w:cs="Arial"/>
          <w:sz w:val="24"/>
        </w:rPr>
        <w:t>Facultase al Jefe de Gabinete de Ministros a efectuar las modificaciones presupuestarias que correspondan, previendo para el primer año un monto de bolivianos cincuenta millones a fin de poder cumplir con lo previsto en el inciso 1 del artículo 13.</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15.- </w:t>
      </w:r>
      <w:r w:rsidRPr="004640A6">
        <w:rPr>
          <w:rFonts w:ascii="Arial" w:hAnsi="Arial" w:cs="Arial"/>
          <w:sz w:val="24"/>
        </w:rPr>
        <w:t>El Vice Ministerio de Ciencia y Tecnología y los organismos de Innovación Productiva, a través de la Agencia para el Desarrollo de la Sociedad de la Información (ADSIB) será la Autoridad para la Aplicación en lo referido al FONSOFT y actuará como fiduciante frente al administrador fiduciario.</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16.-</w:t>
      </w:r>
      <w:r w:rsidRPr="004640A6">
        <w:rPr>
          <w:rFonts w:ascii="Arial" w:hAnsi="Arial" w:cs="Arial"/>
          <w:sz w:val="24"/>
        </w:rPr>
        <w:t xml:space="preserve"> La Autoridad de Aplicación definirá los criterios de distribución de los fondos acreditados en el FONSOFT. Serán asignados prioritariamente a Universidades, Centros de Investigación, </w:t>
      </w:r>
      <w:proofErr w:type="spellStart"/>
      <w:r w:rsidRPr="004640A6">
        <w:rPr>
          <w:rFonts w:ascii="Arial" w:hAnsi="Arial" w:cs="Arial"/>
          <w:sz w:val="24"/>
        </w:rPr>
        <w:t>PyMEs</w:t>
      </w:r>
      <w:proofErr w:type="spellEnd"/>
      <w:r w:rsidRPr="004640A6">
        <w:rPr>
          <w:rFonts w:ascii="Arial" w:hAnsi="Arial" w:cs="Arial"/>
          <w:sz w:val="24"/>
        </w:rPr>
        <w:t xml:space="preserve"> y nuevos emprendimientos, que se dediquen a la actividad de desarrollo de software. A los efectos mencionados en el párrafo anterior, la Autoridad de Aplicación convendrá con </w:t>
      </w:r>
      <w:r w:rsidRPr="004640A6">
        <w:rPr>
          <w:rFonts w:ascii="Arial" w:hAnsi="Arial" w:cs="Arial"/>
          <w:sz w:val="24"/>
        </w:rPr>
        <w:lastRenderedPageBreak/>
        <w:t>las Gobernaciones que adhieran al régimen de la presente ley, la forma y modo en que éstas, a través de sus organismos pertinentes, se verán representadas en la Agencia para el Desarrollo de la Sociedad de la Información en Bolivia.</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17.-</w:t>
      </w:r>
      <w:r w:rsidRPr="004640A6">
        <w:rPr>
          <w:rFonts w:ascii="Arial" w:hAnsi="Arial" w:cs="Arial"/>
          <w:sz w:val="24"/>
        </w:rPr>
        <w:t xml:space="preserve"> La Autoridad de Aplicación podrá financiar a través del FONSOFT:</w:t>
      </w:r>
    </w:p>
    <w:p w:rsidR="004640A6" w:rsidRPr="004640A6" w:rsidRDefault="004640A6" w:rsidP="004640A6">
      <w:pPr>
        <w:pStyle w:val="Prrafodelista"/>
        <w:numPr>
          <w:ilvl w:val="0"/>
          <w:numId w:val="27"/>
        </w:numPr>
        <w:spacing w:line="360" w:lineRule="auto"/>
        <w:jc w:val="both"/>
        <w:rPr>
          <w:rFonts w:ascii="Arial" w:hAnsi="Arial" w:cs="Arial"/>
          <w:sz w:val="24"/>
        </w:rPr>
      </w:pPr>
      <w:r w:rsidRPr="004640A6">
        <w:rPr>
          <w:rFonts w:ascii="Arial" w:hAnsi="Arial" w:cs="Arial"/>
          <w:sz w:val="24"/>
        </w:rPr>
        <w:t>Proyectos de investigación y desarrollo relacionados a las actividades definidas en el artículo 4 de la presente.</w:t>
      </w:r>
    </w:p>
    <w:p w:rsidR="004640A6" w:rsidRPr="004640A6" w:rsidRDefault="004640A6" w:rsidP="004640A6">
      <w:pPr>
        <w:pStyle w:val="Prrafodelista"/>
        <w:numPr>
          <w:ilvl w:val="0"/>
          <w:numId w:val="27"/>
        </w:numPr>
        <w:spacing w:line="360" w:lineRule="auto"/>
        <w:jc w:val="both"/>
        <w:rPr>
          <w:rFonts w:ascii="Arial" w:hAnsi="Arial" w:cs="Arial"/>
          <w:sz w:val="24"/>
        </w:rPr>
      </w:pPr>
      <w:r w:rsidRPr="004640A6">
        <w:rPr>
          <w:rFonts w:ascii="Arial" w:hAnsi="Arial" w:cs="Arial"/>
          <w:sz w:val="24"/>
        </w:rPr>
        <w:t>Programas de nivel terciario o superior para la capacitación de recursos humanos.</w:t>
      </w:r>
    </w:p>
    <w:p w:rsidR="004640A6" w:rsidRPr="004640A6" w:rsidRDefault="004640A6" w:rsidP="004640A6">
      <w:pPr>
        <w:pStyle w:val="Prrafodelista"/>
        <w:numPr>
          <w:ilvl w:val="0"/>
          <w:numId w:val="27"/>
        </w:numPr>
        <w:spacing w:line="360" w:lineRule="auto"/>
        <w:jc w:val="both"/>
        <w:rPr>
          <w:rFonts w:ascii="Arial" w:hAnsi="Arial" w:cs="Arial"/>
          <w:sz w:val="24"/>
        </w:rPr>
      </w:pPr>
      <w:r w:rsidRPr="004640A6">
        <w:rPr>
          <w:rFonts w:ascii="Arial" w:hAnsi="Arial" w:cs="Arial"/>
          <w:sz w:val="24"/>
        </w:rPr>
        <w:t>Programas para la mejora en la calidad de los procesos de creación, diseño, desarrollo y producción de software.</w:t>
      </w:r>
    </w:p>
    <w:p w:rsidR="004640A6" w:rsidRPr="004640A6" w:rsidRDefault="004640A6" w:rsidP="004640A6">
      <w:pPr>
        <w:pStyle w:val="Prrafodelista"/>
        <w:numPr>
          <w:ilvl w:val="0"/>
          <w:numId w:val="27"/>
        </w:numPr>
        <w:spacing w:line="360" w:lineRule="auto"/>
        <w:jc w:val="both"/>
        <w:rPr>
          <w:rFonts w:ascii="Arial" w:hAnsi="Arial" w:cs="Arial"/>
          <w:sz w:val="24"/>
        </w:rPr>
      </w:pPr>
      <w:r w:rsidRPr="004640A6">
        <w:rPr>
          <w:rFonts w:ascii="Arial" w:hAnsi="Arial" w:cs="Arial"/>
          <w:sz w:val="24"/>
        </w:rPr>
        <w:t>Programas de asistencia para la constitución de nuevos emprendimientos.</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18.- </w:t>
      </w:r>
      <w:r w:rsidRPr="004640A6">
        <w:rPr>
          <w:rFonts w:ascii="Arial" w:hAnsi="Arial" w:cs="Arial"/>
          <w:sz w:val="24"/>
        </w:rPr>
        <w:t>La Autoridad de Aplicación otorgará preferencia en la asignación de financiamientos a través del FONSOFT, según lo definido en el artículo 15, a quienes:</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a) Se encuentren radicados en regiones del país con menor desarrollo relativo.</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b) Registren en el Estado Plurinacional los derechos de reproducción de software según las normas vigentes.</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c) Generen mediante los programas promocionados un aumento cierto y fehaciente en la utilización de recursos humanos.</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d) Generen mediante los programas promocionados incrementales de exportación</w:t>
      </w:r>
    </w:p>
    <w:p w:rsidR="004640A6" w:rsidRPr="004640A6" w:rsidRDefault="004640A6" w:rsidP="004640A6">
      <w:pPr>
        <w:spacing w:line="360" w:lineRule="auto"/>
        <w:jc w:val="both"/>
        <w:rPr>
          <w:rFonts w:ascii="Arial" w:hAnsi="Arial" w:cs="Arial"/>
          <w:sz w:val="24"/>
        </w:rPr>
      </w:pPr>
      <w:r w:rsidRPr="004640A6">
        <w:rPr>
          <w:rFonts w:ascii="Arial" w:hAnsi="Arial" w:cs="Arial"/>
          <w:sz w:val="24"/>
        </w:rPr>
        <w:t>e) Adhieran al presente régimen de promoción.</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19.- </w:t>
      </w:r>
      <w:r w:rsidRPr="004640A6">
        <w:rPr>
          <w:rFonts w:ascii="Arial" w:hAnsi="Arial" w:cs="Arial"/>
          <w:sz w:val="24"/>
        </w:rPr>
        <w:t>Las erogaciones de la Autoridad de Aplicación relacionadas a la administración del FONSOFT no deberán superar el cinco por ciento (5%) de la recaudación anual del mismo.</w:t>
      </w:r>
    </w:p>
    <w:p w:rsidR="004640A6" w:rsidRDefault="004640A6" w:rsidP="004640A6">
      <w:pPr>
        <w:pStyle w:val="Ttulo2"/>
        <w:spacing w:line="360" w:lineRule="auto"/>
      </w:pPr>
      <w:bookmarkStart w:id="28" w:name="_Toc456367830"/>
      <w:bookmarkStart w:id="29" w:name="_Toc456865996"/>
      <w:bookmarkStart w:id="30" w:name="_Toc10276847"/>
      <w:r>
        <w:t>CAPÍTULO V. Infracciones y sanciones</w:t>
      </w:r>
      <w:bookmarkEnd w:id="28"/>
      <w:bookmarkEnd w:id="29"/>
      <w:bookmarkEnd w:id="30"/>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20.- </w:t>
      </w:r>
      <w:r w:rsidRPr="004640A6">
        <w:rPr>
          <w:rFonts w:ascii="Arial" w:hAnsi="Arial" w:cs="Arial"/>
          <w:sz w:val="24"/>
        </w:rPr>
        <w:t xml:space="preserve">El incumplimiento de las normas de la presente ley y de las disposiciones de la Autoridad de Aplicación referidas a los beneficios establecidos en el capítulo II por parte de las personas físicas y jurídicas que se </w:t>
      </w:r>
      <w:r w:rsidRPr="004640A6">
        <w:rPr>
          <w:rFonts w:ascii="Arial" w:hAnsi="Arial" w:cs="Arial"/>
          <w:sz w:val="24"/>
        </w:rPr>
        <w:lastRenderedPageBreak/>
        <w:t>acojan al régimen de promoción de la presente ley, determinará la aplicación por parte de la Autoridad de Aplicación de las sanciones que se detallan a continuación:</w:t>
      </w:r>
    </w:p>
    <w:p w:rsidR="004640A6" w:rsidRPr="004640A6" w:rsidRDefault="004640A6" w:rsidP="004640A6">
      <w:pPr>
        <w:pStyle w:val="Prrafodelista"/>
        <w:numPr>
          <w:ilvl w:val="0"/>
          <w:numId w:val="28"/>
        </w:numPr>
        <w:spacing w:line="360" w:lineRule="auto"/>
        <w:jc w:val="both"/>
        <w:rPr>
          <w:rFonts w:ascii="Arial" w:hAnsi="Arial" w:cs="Arial"/>
          <w:sz w:val="24"/>
        </w:rPr>
      </w:pPr>
      <w:r w:rsidRPr="004640A6">
        <w:rPr>
          <w:rFonts w:ascii="Arial" w:hAnsi="Arial" w:cs="Arial"/>
          <w:sz w:val="24"/>
        </w:rPr>
        <w:t>Revocación de la inscripción en el registro establecido en el artículo 3 y de los beneficios otorgados por el capítulo II.</w:t>
      </w:r>
    </w:p>
    <w:p w:rsidR="004640A6" w:rsidRPr="004640A6" w:rsidRDefault="004640A6" w:rsidP="004640A6">
      <w:pPr>
        <w:pStyle w:val="Prrafodelista"/>
        <w:numPr>
          <w:ilvl w:val="0"/>
          <w:numId w:val="28"/>
        </w:numPr>
        <w:spacing w:line="360" w:lineRule="auto"/>
        <w:jc w:val="both"/>
        <w:rPr>
          <w:rFonts w:ascii="Arial" w:hAnsi="Arial" w:cs="Arial"/>
          <w:sz w:val="24"/>
        </w:rPr>
      </w:pPr>
      <w:r w:rsidRPr="004640A6">
        <w:rPr>
          <w:rFonts w:ascii="Arial" w:hAnsi="Arial" w:cs="Arial"/>
          <w:sz w:val="24"/>
        </w:rPr>
        <w:t>Pago de los tributos no ingresados con motivo de lo dispuesto en el capítulo II, con más los intereses, en relación con el incumplimiento específico determinado.</w:t>
      </w:r>
    </w:p>
    <w:p w:rsidR="004640A6" w:rsidRPr="004640A6" w:rsidRDefault="004640A6" w:rsidP="004640A6">
      <w:pPr>
        <w:pStyle w:val="Prrafodelista"/>
        <w:numPr>
          <w:ilvl w:val="0"/>
          <w:numId w:val="28"/>
        </w:numPr>
        <w:spacing w:line="360" w:lineRule="auto"/>
        <w:jc w:val="both"/>
        <w:rPr>
          <w:rFonts w:ascii="Arial" w:hAnsi="Arial" w:cs="Arial"/>
          <w:sz w:val="24"/>
        </w:rPr>
      </w:pPr>
      <w:r w:rsidRPr="004640A6">
        <w:rPr>
          <w:rFonts w:ascii="Arial" w:hAnsi="Arial" w:cs="Arial"/>
          <w:sz w:val="24"/>
        </w:rPr>
        <w:t>Inhabilitación para inscribirse nuevamente en el registro establecido en el artículo 3.</w:t>
      </w:r>
    </w:p>
    <w:p w:rsidR="004640A6" w:rsidRDefault="004640A6" w:rsidP="004640A6">
      <w:pPr>
        <w:pStyle w:val="Ttulo2"/>
        <w:spacing w:line="360" w:lineRule="auto"/>
      </w:pPr>
      <w:bookmarkStart w:id="31" w:name="_Toc456367831"/>
      <w:bookmarkStart w:id="32" w:name="_Toc456865997"/>
      <w:bookmarkStart w:id="33" w:name="_Toc10276848"/>
      <w:r>
        <w:t>CAPÍTULO VI. Disposiciones Generales</w:t>
      </w:r>
      <w:bookmarkEnd w:id="31"/>
      <w:bookmarkEnd w:id="32"/>
      <w:bookmarkEnd w:id="33"/>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Artículo 21.-</w:t>
      </w:r>
      <w:r w:rsidRPr="004640A6">
        <w:rPr>
          <w:rFonts w:ascii="Arial" w:hAnsi="Arial" w:cs="Arial"/>
          <w:sz w:val="24"/>
        </w:rPr>
        <w:t xml:space="preserve"> La Autoridad de Aplicación de la presente Ley será la Secretaría de Industria Comercio y de la Pequeña y Mediana Empresa, dependiente del Ministerio de Economía y Producción.</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22.- </w:t>
      </w:r>
      <w:r w:rsidRPr="004640A6">
        <w:rPr>
          <w:rFonts w:ascii="Arial" w:hAnsi="Arial" w:cs="Arial"/>
          <w:sz w:val="24"/>
        </w:rPr>
        <w:t>La Secretaría de Industria, Comercio y de la Pequeña y Mediana Empresa deberá publicar en su respectiva página de Internet el Registro de las empresas beneficiarias del presente régimen, así como los montos de beneficio fiscal otorgados a cada empresa.</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23.- </w:t>
      </w:r>
      <w:r w:rsidRPr="004640A6">
        <w:rPr>
          <w:rFonts w:ascii="Arial" w:hAnsi="Arial" w:cs="Arial"/>
          <w:sz w:val="24"/>
        </w:rPr>
        <w:t>A los fines de la presente ley quedan excluidas como actividades de Investigación y Desarrollo de software la solución de problemas técnicos que se hayan superado en proyectos anteriores sobre los mismos sistemas operativos y arquitecturas informáticas. También el mantenimiento, la conversión y/o traducción de lenguajes informáticos, la adición de funciones y/o preparación de documentación para el usuario, garantía o asesoramiento de calidad de los sistemas no repetibles existentes. Quedan también excluidas las actividades de recolección rutinaria de datos, la elaboración de estudios de mercados para la comercialización de software y aquellas otras actividades ligadas a la producción de software que no conlleven un progreso funcional o tecnológico en el área del software.</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24.- </w:t>
      </w:r>
      <w:r w:rsidRPr="004640A6">
        <w:rPr>
          <w:rFonts w:ascii="Arial" w:hAnsi="Arial" w:cs="Arial"/>
          <w:sz w:val="24"/>
        </w:rPr>
        <w:t>La Autoridad de Aplicación realizará auditorías y evaluaciones del presente régimen, debiendo informar con periodicidad de al menos cada tres años al Congreso de la Nación los resultados de las mismas.</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lastRenderedPageBreak/>
        <w:t xml:space="preserve">Artículo 25.- </w:t>
      </w:r>
      <w:r w:rsidRPr="004640A6">
        <w:rPr>
          <w:rFonts w:ascii="Arial" w:hAnsi="Arial" w:cs="Arial"/>
          <w:sz w:val="24"/>
        </w:rPr>
        <w:t>Los beneficios fiscales contemplados en la presente ley, mientras subsista el sistema de coparticipación federal de impuestos vigente, se detraerán de las cuantías de los recursos que correspondan a la Nación.</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26.- </w:t>
      </w:r>
      <w:r w:rsidRPr="004640A6">
        <w:rPr>
          <w:rFonts w:ascii="Arial" w:hAnsi="Arial" w:cs="Arial"/>
          <w:sz w:val="24"/>
        </w:rPr>
        <w:t>El cupo fiscal de los beneficios a otorgarse por el presente régimen promocional será fijado anualmente en la Ley de Presupuesto General de Gastos y Cálculos de Recursos de la Administración Nacional. A partir de la vigencia de la presente ley y durante los tres primeros ejercicios fiscales posteriores, el cupo correspondiente se otorgará en función de la demanda y desarrollo de las actividades promocionadas.</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27.- </w:t>
      </w:r>
      <w:r w:rsidRPr="004640A6">
        <w:rPr>
          <w:rFonts w:ascii="Arial" w:hAnsi="Arial" w:cs="Arial"/>
          <w:sz w:val="24"/>
        </w:rPr>
        <w:t>Invitase a las Gobernaciones y a los municipios a adherir al presente régimen mediante el dictado de normas de promoción análogas a las establecidas en la presente ley.</w:t>
      </w:r>
    </w:p>
    <w:p w:rsidR="004640A6" w:rsidRPr="004640A6" w:rsidRDefault="004640A6" w:rsidP="004640A6">
      <w:pPr>
        <w:spacing w:line="360" w:lineRule="auto"/>
        <w:jc w:val="both"/>
        <w:rPr>
          <w:rFonts w:ascii="Arial" w:hAnsi="Arial" w:cs="Arial"/>
          <w:sz w:val="24"/>
        </w:rPr>
      </w:pPr>
      <w:r w:rsidRPr="004640A6">
        <w:rPr>
          <w:rFonts w:ascii="Arial" w:hAnsi="Arial" w:cs="Arial"/>
          <w:b/>
          <w:sz w:val="24"/>
        </w:rPr>
        <w:t xml:space="preserve">Artículo 28.- </w:t>
      </w:r>
      <w:r w:rsidRPr="004640A6">
        <w:rPr>
          <w:rFonts w:ascii="Arial" w:hAnsi="Arial" w:cs="Arial"/>
          <w:sz w:val="24"/>
        </w:rPr>
        <w:t>Comuníquese al Poder Ejecutivo Nacional</w:t>
      </w:r>
    </w:p>
    <w:p w:rsidR="0037617A" w:rsidRPr="004640A6" w:rsidRDefault="0037617A" w:rsidP="004640A6">
      <w:pPr>
        <w:spacing w:line="360" w:lineRule="auto"/>
      </w:pPr>
    </w:p>
    <w:sectPr w:rsidR="0037617A" w:rsidRPr="004640A6" w:rsidSect="00543ABC">
      <w:headerReference w:type="default" r:id="rId15"/>
      <w:footerReference w:type="first" r:id="rId16"/>
      <w:pgSz w:w="11906" w:h="16838"/>
      <w:pgMar w:top="1417" w:right="1701" w:bottom="1417" w:left="1701" w:header="708" w:footer="708" w:gutter="0"/>
      <w:pgBorders w:offsetFrom="page">
        <w:top w:val="twistedLines1" w:sz="20" w:space="24" w:color="4472C4" w:themeColor="accent5"/>
        <w:left w:val="twistedLines1" w:sz="20" w:space="24" w:color="4472C4" w:themeColor="accent5"/>
        <w:bottom w:val="twistedLines1" w:sz="20" w:space="24" w:color="4472C4" w:themeColor="accent5"/>
        <w:right w:val="twistedLines1" w:sz="20" w:space="24" w:color="4472C4" w:themeColor="accent5"/>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B32" w:rsidRDefault="00E22B32" w:rsidP="00543ABC">
      <w:pPr>
        <w:spacing w:after="0" w:line="240" w:lineRule="auto"/>
      </w:pPr>
      <w:r>
        <w:separator/>
      </w:r>
    </w:p>
  </w:endnote>
  <w:endnote w:type="continuationSeparator" w:id="0">
    <w:p w:rsidR="00E22B32" w:rsidRDefault="00E22B32" w:rsidP="0054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 w:name="_GoBack" w:displacedByCustomXml="next"/>
  <w:bookmarkEnd w:id="2" w:displacedByCustomXml="next"/>
  <w:sdt>
    <w:sdtPr>
      <w:id w:val="759491486"/>
      <w:docPartObj>
        <w:docPartGallery w:val="Page Numbers (Bottom of Page)"/>
        <w:docPartUnique/>
      </w:docPartObj>
    </w:sdtPr>
    <w:sdtContent>
      <w:p w:rsidR="001C3C49" w:rsidRDefault="001C3C49">
        <w:pPr>
          <w:pStyle w:val="Piedepgina"/>
          <w:jc w:val="center"/>
        </w:pPr>
        <w:r>
          <w:fldChar w:fldCharType="begin"/>
        </w:r>
        <w:r>
          <w:instrText>PAGE   \* MERGEFORMAT</w:instrText>
        </w:r>
        <w:r>
          <w:fldChar w:fldCharType="separate"/>
        </w:r>
        <w:r w:rsidRPr="001C3C49">
          <w:rPr>
            <w:noProof/>
            <w:lang w:val="es-ES"/>
          </w:rPr>
          <w:t>2</w:t>
        </w:r>
        <w:r>
          <w:fldChar w:fldCharType="end"/>
        </w:r>
      </w:p>
    </w:sdtContent>
  </w:sdt>
  <w:p w:rsidR="001C3C49" w:rsidRDefault="001C3C4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64726"/>
      <w:docPartObj>
        <w:docPartGallery w:val="Page Numbers (Bottom of Page)"/>
        <w:docPartUnique/>
      </w:docPartObj>
    </w:sdtPr>
    <w:sdtEndPr/>
    <w:sdtContent>
      <w:p w:rsidR="00543ABC" w:rsidRDefault="00543ABC">
        <w:pPr>
          <w:pStyle w:val="Piedepgina"/>
          <w:jc w:val="center"/>
        </w:pPr>
        <w:r>
          <w:fldChar w:fldCharType="begin"/>
        </w:r>
        <w:r>
          <w:instrText>PAGE   \* MERGEFORMAT</w:instrText>
        </w:r>
        <w:r>
          <w:fldChar w:fldCharType="separate"/>
        </w:r>
        <w:r w:rsidR="001C3C49" w:rsidRPr="001C3C49">
          <w:rPr>
            <w:noProof/>
            <w:lang w:val="es-ES"/>
          </w:rPr>
          <w:t>0</w:t>
        </w:r>
        <w:r>
          <w:fldChar w:fldCharType="end"/>
        </w:r>
      </w:p>
    </w:sdtContent>
  </w:sdt>
  <w:p w:rsidR="00543ABC" w:rsidRDefault="00543AB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65386"/>
      <w:docPartObj>
        <w:docPartGallery w:val="Page Numbers (Bottom of Page)"/>
        <w:docPartUnique/>
      </w:docPartObj>
    </w:sdtPr>
    <w:sdtContent>
      <w:p w:rsidR="001C3C49" w:rsidRDefault="001C3C49">
        <w:pPr>
          <w:pStyle w:val="Piedepgina"/>
          <w:jc w:val="center"/>
        </w:pPr>
        <w:r>
          <w:fldChar w:fldCharType="begin"/>
        </w:r>
        <w:r>
          <w:instrText>PAGE   \* MERGEFORMAT</w:instrText>
        </w:r>
        <w:r>
          <w:fldChar w:fldCharType="separate"/>
        </w:r>
        <w:r w:rsidRPr="001C3C49">
          <w:rPr>
            <w:noProof/>
            <w:lang w:val="es-ES"/>
          </w:rPr>
          <w:t>1</w:t>
        </w:r>
        <w:r>
          <w:fldChar w:fldCharType="end"/>
        </w:r>
      </w:p>
    </w:sdtContent>
  </w:sdt>
  <w:p w:rsidR="001C3C49" w:rsidRDefault="001C3C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B32" w:rsidRDefault="00E22B32" w:rsidP="00543ABC">
      <w:pPr>
        <w:spacing w:after="0" w:line="240" w:lineRule="auto"/>
      </w:pPr>
      <w:r>
        <w:separator/>
      </w:r>
    </w:p>
  </w:footnote>
  <w:footnote w:type="continuationSeparator" w:id="0">
    <w:p w:rsidR="00E22B32" w:rsidRDefault="00E22B32" w:rsidP="00543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19" w:rsidRDefault="00E22B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4pt;height:14.4pt" o:bullet="t">
        <v:imagedata r:id="rId1" o:title="mso22EB"/>
      </v:shape>
    </w:pict>
  </w:numPicBullet>
  <w:abstractNum w:abstractNumId="0" w15:restartNumberingAfterBreak="0">
    <w:nsid w:val="FFFFFF82"/>
    <w:multiLevelType w:val="singleLevel"/>
    <w:tmpl w:val="1E96B31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9009EEA"/>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2408"/>
        </w:tabs>
        <w:ind w:left="2408" w:hanging="284"/>
      </w:pPr>
      <w:rPr>
        <w:rFonts w:ascii="Symbol" w:hAnsi="Symbol" w:cs="Symbol"/>
        <w:b w:val="0"/>
        <w:sz w:val="18"/>
      </w:rPr>
    </w:lvl>
  </w:abstractNum>
  <w:abstractNum w:abstractNumId="3" w15:restartNumberingAfterBreak="0">
    <w:nsid w:val="00000003"/>
    <w:multiLevelType w:val="singleLevel"/>
    <w:tmpl w:val="00000003"/>
    <w:name w:val="WW8Num3"/>
    <w:lvl w:ilvl="0">
      <w:start w:val="1"/>
      <w:numFmt w:val="bullet"/>
      <w:lvlText w:val=""/>
      <w:lvlJc w:val="left"/>
      <w:pPr>
        <w:tabs>
          <w:tab w:val="num" w:pos="2408"/>
        </w:tabs>
        <w:ind w:left="2408" w:hanging="284"/>
      </w:pPr>
      <w:rPr>
        <w:rFonts w:ascii="Symbol" w:hAnsi="Symbol" w:cs="Symbol"/>
        <w:b w:val="0"/>
        <w:sz w:val="18"/>
      </w:rPr>
    </w:lvl>
  </w:abstractNum>
  <w:abstractNum w:abstractNumId="4"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sz w:val="18"/>
        <w:szCs w:val="18"/>
      </w:rPr>
    </w:lvl>
  </w:abstractNum>
  <w:abstractNum w:abstractNumId="5"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6" w15:restartNumberingAfterBreak="0">
    <w:nsid w:val="0000000A"/>
    <w:multiLevelType w:val="singleLevel"/>
    <w:tmpl w:val="0000000A"/>
    <w:name w:val="WW8Num10"/>
    <w:lvl w:ilvl="0">
      <w:start w:val="1"/>
      <w:numFmt w:val="bullet"/>
      <w:lvlText w:val=""/>
      <w:lvlJc w:val="left"/>
      <w:pPr>
        <w:tabs>
          <w:tab w:val="num" w:pos="464"/>
        </w:tabs>
        <w:ind w:left="464" w:hanging="284"/>
      </w:pPr>
      <w:rPr>
        <w:rFonts w:ascii="Symbol" w:hAnsi="Symbol" w:cs="Symbol"/>
        <w:b w:val="0"/>
        <w:sz w:val="18"/>
      </w:rPr>
    </w:lvl>
  </w:abstractNum>
  <w:abstractNum w:abstractNumId="7" w15:restartNumberingAfterBreak="0">
    <w:nsid w:val="037371CC"/>
    <w:multiLevelType w:val="multilevel"/>
    <w:tmpl w:val="EB26900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6C8525D"/>
    <w:multiLevelType w:val="hybridMultilevel"/>
    <w:tmpl w:val="0CD80ACE"/>
    <w:lvl w:ilvl="0" w:tplc="0C0A0001">
      <w:start w:val="1"/>
      <w:numFmt w:val="bullet"/>
      <w:lvlText w:val=""/>
      <w:lvlJc w:val="left"/>
      <w:pPr>
        <w:ind w:left="1710" w:hanging="360"/>
      </w:pPr>
      <w:rPr>
        <w:rFonts w:ascii="Symbol" w:hAnsi="Symbol" w:hint="default"/>
      </w:rPr>
    </w:lvl>
    <w:lvl w:ilvl="1" w:tplc="0C0A0003" w:tentative="1">
      <w:start w:val="1"/>
      <w:numFmt w:val="bullet"/>
      <w:lvlText w:val="o"/>
      <w:lvlJc w:val="left"/>
      <w:pPr>
        <w:ind w:left="2430" w:hanging="360"/>
      </w:pPr>
      <w:rPr>
        <w:rFonts w:ascii="Courier New" w:hAnsi="Courier New" w:cs="Courier New" w:hint="default"/>
      </w:rPr>
    </w:lvl>
    <w:lvl w:ilvl="2" w:tplc="0C0A0005" w:tentative="1">
      <w:start w:val="1"/>
      <w:numFmt w:val="bullet"/>
      <w:lvlText w:val=""/>
      <w:lvlJc w:val="left"/>
      <w:pPr>
        <w:ind w:left="3150" w:hanging="360"/>
      </w:pPr>
      <w:rPr>
        <w:rFonts w:ascii="Wingdings" w:hAnsi="Wingdings" w:hint="default"/>
      </w:rPr>
    </w:lvl>
    <w:lvl w:ilvl="3" w:tplc="0C0A0001" w:tentative="1">
      <w:start w:val="1"/>
      <w:numFmt w:val="bullet"/>
      <w:lvlText w:val=""/>
      <w:lvlJc w:val="left"/>
      <w:pPr>
        <w:ind w:left="3870" w:hanging="360"/>
      </w:pPr>
      <w:rPr>
        <w:rFonts w:ascii="Symbol" w:hAnsi="Symbol" w:hint="default"/>
      </w:rPr>
    </w:lvl>
    <w:lvl w:ilvl="4" w:tplc="0C0A0003" w:tentative="1">
      <w:start w:val="1"/>
      <w:numFmt w:val="bullet"/>
      <w:lvlText w:val="o"/>
      <w:lvlJc w:val="left"/>
      <w:pPr>
        <w:ind w:left="4590" w:hanging="360"/>
      </w:pPr>
      <w:rPr>
        <w:rFonts w:ascii="Courier New" w:hAnsi="Courier New" w:cs="Courier New" w:hint="default"/>
      </w:rPr>
    </w:lvl>
    <w:lvl w:ilvl="5" w:tplc="0C0A0005" w:tentative="1">
      <w:start w:val="1"/>
      <w:numFmt w:val="bullet"/>
      <w:lvlText w:val=""/>
      <w:lvlJc w:val="left"/>
      <w:pPr>
        <w:ind w:left="5310" w:hanging="360"/>
      </w:pPr>
      <w:rPr>
        <w:rFonts w:ascii="Wingdings" w:hAnsi="Wingdings" w:hint="default"/>
      </w:rPr>
    </w:lvl>
    <w:lvl w:ilvl="6" w:tplc="0C0A0001" w:tentative="1">
      <w:start w:val="1"/>
      <w:numFmt w:val="bullet"/>
      <w:lvlText w:val=""/>
      <w:lvlJc w:val="left"/>
      <w:pPr>
        <w:ind w:left="6030" w:hanging="360"/>
      </w:pPr>
      <w:rPr>
        <w:rFonts w:ascii="Symbol" w:hAnsi="Symbol" w:hint="default"/>
      </w:rPr>
    </w:lvl>
    <w:lvl w:ilvl="7" w:tplc="0C0A0003" w:tentative="1">
      <w:start w:val="1"/>
      <w:numFmt w:val="bullet"/>
      <w:lvlText w:val="o"/>
      <w:lvlJc w:val="left"/>
      <w:pPr>
        <w:ind w:left="6750" w:hanging="360"/>
      </w:pPr>
      <w:rPr>
        <w:rFonts w:ascii="Courier New" w:hAnsi="Courier New" w:cs="Courier New" w:hint="default"/>
      </w:rPr>
    </w:lvl>
    <w:lvl w:ilvl="8" w:tplc="0C0A0005" w:tentative="1">
      <w:start w:val="1"/>
      <w:numFmt w:val="bullet"/>
      <w:lvlText w:val=""/>
      <w:lvlJc w:val="left"/>
      <w:pPr>
        <w:ind w:left="7470" w:hanging="360"/>
      </w:pPr>
      <w:rPr>
        <w:rFonts w:ascii="Wingdings" w:hAnsi="Wingdings" w:hint="default"/>
      </w:rPr>
    </w:lvl>
  </w:abstractNum>
  <w:abstractNum w:abstractNumId="9" w15:restartNumberingAfterBreak="0">
    <w:nsid w:val="0EAA4E91"/>
    <w:multiLevelType w:val="multilevel"/>
    <w:tmpl w:val="9AE849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CB03A8"/>
    <w:multiLevelType w:val="multilevel"/>
    <w:tmpl w:val="B4AEEA12"/>
    <w:lvl w:ilvl="0">
      <w:start w:val="4"/>
      <w:numFmt w:val="decimal"/>
      <w:lvlText w:val="%1.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4E2784"/>
    <w:multiLevelType w:val="multilevel"/>
    <w:tmpl w:val="4B926E16"/>
    <w:lvl w:ilvl="0">
      <w:start w:val="3"/>
      <w:numFmt w:val="decimal"/>
      <w:lvlText w:val="%1."/>
      <w:lvlJc w:val="left"/>
      <w:pPr>
        <w:ind w:left="360" w:hanging="360"/>
      </w:pPr>
      <w:rPr>
        <w:rFonts w:hint="default"/>
      </w:rPr>
    </w:lvl>
    <w:lvl w:ilvl="1">
      <w:start w:val="2"/>
      <w:numFmt w:val="decimal"/>
      <w:lvlText w:val="%1.%2."/>
      <w:lvlJc w:val="left"/>
      <w:pPr>
        <w:ind w:left="5180" w:hanging="360"/>
      </w:pPr>
      <w:rPr>
        <w:rFonts w:hint="default"/>
      </w:rPr>
    </w:lvl>
    <w:lvl w:ilvl="2">
      <w:start w:val="1"/>
      <w:numFmt w:val="decimal"/>
      <w:lvlText w:val="%1.%2.%3."/>
      <w:lvlJc w:val="left"/>
      <w:pPr>
        <w:ind w:left="10360" w:hanging="720"/>
      </w:pPr>
      <w:rPr>
        <w:rFonts w:hint="default"/>
      </w:rPr>
    </w:lvl>
    <w:lvl w:ilvl="3">
      <w:start w:val="1"/>
      <w:numFmt w:val="decimal"/>
      <w:lvlText w:val="%1.%2.%3.%4."/>
      <w:lvlJc w:val="left"/>
      <w:pPr>
        <w:ind w:left="15180" w:hanging="720"/>
      </w:pPr>
      <w:rPr>
        <w:rFonts w:hint="default"/>
      </w:rPr>
    </w:lvl>
    <w:lvl w:ilvl="4">
      <w:start w:val="1"/>
      <w:numFmt w:val="decimal"/>
      <w:lvlText w:val="%1.%2.%3.%4.%5."/>
      <w:lvlJc w:val="left"/>
      <w:pPr>
        <w:ind w:left="20360" w:hanging="1080"/>
      </w:pPr>
      <w:rPr>
        <w:rFonts w:hint="default"/>
      </w:rPr>
    </w:lvl>
    <w:lvl w:ilvl="5">
      <w:start w:val="1"/>
      <w:numFmt w:val="decimal"/>
      <w:lvlText w:val="%1.%2.%3.%4.%5.%6."/>
      <w:lvlJc w:val="left"/>
      <w:pPr>
        <w:ind w:left="25180" w:hanging="1080"/>
      </w:pPr>
      <w:rPr>
        <w:rFonts w:hint="default"/>
      </w:rPr>
    </w:lvl>
    <w:lvl w:ilvl="6">
      <w:start w:val="1"/>
      <w:numFmt w:val="decimal"/>
      <w:lvlText w:val="%1.%2.%3.%4.%5.%6.%7."/>
      <w:lvlJc w:val="left"/>
      <w:pPr>
        <w:ind w:left="30360" w:hanging="1440"/>
      </w:pPr>
      <w:rPr>
        <w:rFonts w:hint="default"/>
      </w:rPr>
    </w:lvl>
    <w:lvl w:ilvl="7">
      <w:start w:val="1"/>
      <w:numFmt w:val="decimal"/>
      <w:lvlText w:val="%1.%2.%3.%4.%5.%6.%7.%8."/>
      <w:lvlJc w:val="left"/>
      <w:pPr>
        <w:ind w:left="-30356" w:hanging="1440"/>
      </w:pPr>
      <w:rPr>
        <w:rFonts w:hint="default"/>
      </w:rPr>
    </w:lvl>
    <w:lvl w:ilvl="8">
      <w:start w:val="1"/>
      <w:numFmt w:val="decimal"/>
      <w:lvlText w:val="%1.%2.%3.%4.%5.%6.%7.%8.%9."/>
      <w:lvlJc w:val="left"/>
      <w:pPr>
        <w:ind w:left="-25176" w:hanging="1800"/>
      </w:pPr>
      <w:rPr>
        <w:rFonts w:hint="default"/>
      </w:rPr>
    </w:lvl>
  </w:abstractNum>
  <w:abstractNum w:abstractNumId="12" w15:restartNumberingAfterBreak="0">
    <w:nsid w:val="1F6632B8"/>
    <w:multiLevelType w:val="hybridMultilevel"/>
    <w:tmpl w:val="B7907E7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112737F"/>
    <w:multiLevelType w:val="multilevel"/>
    <w:tmpl w:val="1F9890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4A3F90"/>
    <w:multiLevelType w:val="hybridMultilevel"/>
    <w:tmpl w:val="8520AD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31BE7238"/>
    <w:multiLevelType w:val="hybridMultilevel"/>
    <w:tmpl w:val="1902A3F6"/>
    <w:lvl w:ilvl="0" w:tplc="4B8A7202">
      <w:start w:val="1"/>
      <w:numFmt w:val="decimal"/>
      <w:lvlText w:val="%1."/>
      <w:lvlJc w:val="left"/>
      <w:pPr>
        <w:ind w:left="1350" w:hanging="36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9193BB8"/>
    <w:multiLevelType w:val="hybridMultilevel"/>
    <w:tmpl w:val="8B8E40C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3B5979E7"/>
    <w:multiLevelType w:val="multilevel"/>
    <w:tmpl w:val="4CF82890"/>
    <w:lvl w:ilvl="0">
      <w:start w:val="1"/>
      <w:numFmt w:val="decimal"/>
      <w:lvlText w:val="%1."/>
      <w:lvlJc w:val="left"/>
      <w:pPr>
        <w:ind w:left="420" w:hanging="420"/>
      </w:pPr>
      <w:rPr>
        <w:rFonts w:hint="default"/>
      </w:rPr>
    </w:lvl>
    <w:lvl w:ilvl="1">
      <w:start w:val="1"/>
      <w:numFmt w:val="decimal"/>
      <w:lvlText w:val="%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469212C6"/>
    <w:multiLevelType w:val="hybridMultilevel"/>
    <w:tmpl w:val="E01EA09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4A097AB6"/>
    <w:multiLevelType w:val="hybridMultilevel"/>
    <w:tmpl w:val="082CC9B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3215168"/>
    <w:multiLevelType w:val="hybridMultilevel"/>
    <w:tmpl w:val="B8FE7F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F1465C"/>
    <w:multiLevelType w:val="hybridMultilevel"/>
    <w:tmpl w:val="4D6EEA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127C3E"/>
    <w:multiLevelType w:val="multilevel"/>
    <w:tmpl w:val="16227D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color w:val="0070C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BF53B4"/>
    <w:multiLevelType w:val="hybridMultilevel"/>
    <w:tmpl w:val="EAD459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700C4E2D"/>
    <w:multiLevelType w:val="hybridMultilevel"/>
    <w:tmpl w:val="08AE78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3D1E0F"/>
    <w:multiLevelType w:val="multilevel"/>
    <w:tmpl w:val="0062059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1."/>
      <w:lvlJc w:val="left"/>
      <w:pPr>
        <w:ind w:left="51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6EA33BF"/>
    <w:multiLevelType w:val="multilevel"/>
    <w:tmpl w:val="C52CBC3A"/>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bullet"/>
      <w:lvlText w:val=""/>
      <w:lvlJc w:val="left"/>
      <w:pPr>
        <w:ind w:left="2880" w:hanging="720"/>
      </w:pPr>
      <w:rPr>
        <w:rFonts w:ascii="Wingdings" w:hAnsi="Wingdings" w:hint="default"/>
        <w:b/>
        <w:color w:val="auto"/>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82F690D"/>
    <w:multiLevelType w:val="multilevel"/>
    <w:tmpl w:val="B4B0466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26"/>
  </w:num>
  <w:num w:numId="3">
    <w:abstractNumId w:val="1"/>
  </w:num>
  <w:num w:numId="4">
    <w:abstractNumId w:val="18"/>
  </w:num>
  <w:num w:numId="5">
    <w:abstractNumId w:val="0"/>
  </w:num>
  <w:num w:numId="6">
    <w:abstractNumId w:val="15"/>
  </w:num>
  <w:num w:numId="7">
    <w:abstractNumId w:val="2"/>
  </w:num>
  <w:num w:numId="8">
    <w:abstractNumId w:val="3"/>
  </w:num>
  <w:num w:numId="9">
    <w:abstractNumId w:val="4"/>
  </w:num>
  <w:num w:numId="10">
    <w:abstractNumId w:val="5"/>
  </w:num>
  <w:num w:numId="11">
    <w:abstractNumId w:val="6"/>
  </w:num>
  <w:num w:numId="12">
    <w:abstractNumId w:val="17"/>
  </w:num>
  <w:num w:numId="13">
    <w:abstractNumId w:val="9"/>
  </w:num>
  <w:num w:numId="14">
    <w:abstractNumId w:val="25"/>
  </w:num>
  <w:num w:numId="15">
    <w:abstractNumId w:val="11"/>
  </w:num>
  <w:num w:numId="16">
    <w:abstractNumId w:val="10"/>
  </w:num>
  <w:num w:numId="17">
    <w:abstractNumId w:val="7"/>
  </w:num>
  <w:num w:numId="18">
    <w:abstractNumId w:val="16"/>
  </w:num>
  <w:num w:numId="19">
    <w:abstractNumId w:val="8"/>
  </w:num>
  <w:num w:numId="20">
    <w:abstractNumId w:val="22"/>
  </w:num>
  <w:num w:numId="21">
    <w:abstractNumId w:val="27"/>
  </w:num>
  <w:num w:numId="22">
    <w:abstractNumId w:val="21"/>
  </w:num>
  <w:num w:numId="23">
    <w:abstractNumId w:val="24"/>
  </w:num>
  <w:num w:numId="24">
    <w:abstractNumId w:val="13"/>
  </w:num>
  <w:num w:numId="25">
    <w:abstractNumId w:val="23"/>
  </w:num>
  <w:num w:numId="26">
    <w:abstractNumId w:val="12"/>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A6"/>
    <w:rsid w:val="001C3C49"/>
    <w:rsid w:val="00234370"/>
    <w:rsid w:val="0037617A"/>
    <w:rsid w:val="004640A6"/>
    <w:rsid w:val="00543ABC"/>
    <w:rsid w:val="006B1C9B"/>
    <w:rsid w:val="00E22B3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96B1B8-3C1D-4954-A714-F56BA016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640A6"/>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iPriority w:val="9"/>
    <w:unhideWhenUsed/>
    <w:qFormat/>
    <w:rsid w:val="004640A6"/>
    <w:pPr>
      <w:keepNext/>
      <w:keepLines/>
      <w:spacing w:before="40" w:after="0" w:line="276" w:lineRule="auto"/>
      <w:outlineLvl w:val="1"/>
    </w:pPr>
    <w:rPr>
      <w:rFonts w:asciiTheme="majorHAnsi" w:eastAsiaTheme="majorEastAsia" w:hAnsiTheme="majorHAnsi" w:cstheme="majorBidi"/>
      <w:noProof/>
      <w:color w:val="2E74B5" w:themeColor="accent1" w:themeShade="BF"/>
      <w:sz w:val="26"/>
      <w:szCs w:val="26"/>
      <w:lang w:val="es-ES"/>
    </w:rPr>
  </w:style>
  <w:style w:type="paragraph" w:styleId="Ttulo3">
    <w:name w:val="heading 3"/>
    <w:basedOn w:val="Normal"/>
    <w:next w:val="Normal"/>
    <w:link w:val="Ttulo3Car"/>
    <w:uiPriority w:val="9"/>
    <w:unhideWhenUsed/>
    <w:qFormat/>
    <w:rsid w:val="004640A6"/>
    <w:pPr>
      <w:keepNext/>
      <w:keepLines/>
      <w:spacing w:before="40" w:after="0" w:line="276" w:lineRule="auto"/>
      <w:outlineLvl w:val="2"/>
    </w:pPr>
    <w:rPr>
      <w:rFonts w:asciiTheme="majorHAnsi" w:eastAsiaTheme="majorEastAsia" w:hAnsiTheme="majorHAnsi" w:cstheme="majorBidi"/>
      <w:noProof/>
      <w:color w:val="1F4D78"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40A6"/>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4640A6"/>
    <w:rPr>
      <w:rFonts w:asciiTheme="majorHAnsi" w:eastAsiaTheme="majorEastAsia" w:hAnsiTheme="majorHAnsi" w:cstheme="majorBidi"/>
      <w:noProof/>
      <w:color w:val="2E74B5" w:themeColor="accent1" w:themeShade="BF"/>
      <w:sz w:val="26"/>
      <w:szCs w:val="26"/>
      <w:lang w:val="es-ES"/>
    </w:rPr>
  </w:style>
  <w:style w:type="character" w:customStyle="1" w:styleId="Ttulo3Car">
    <w:name w:val="Título 3 Car"/>
    <w:basedOn w:val="Fuentedeprrafopredeter"/>
    <w:link w:val="Ttulo3"/>
    <w:uiPriority w:val="9"/>
    <w:rsid w:val="004640A6"/>
    <w:rPr>
      <w:rFonts w:asciiTheme="majorHAnsi" w:eastAsiaTheme="majorEastAsia" w:hAnsiTheme="majorHAnsi" w:cstheme="majorBidi"/>
      <w:noProof/>
      <w:color w:val="1F4D78" w:themeColor="accent1" w:themeShade="7F"/>
      <w:sz w:val="24"/>
      <w:szCs w:val="24"/>
      <w:lang w:val="es-ES"/>
    </w:rPr>
  </w:style>
  <w:style w:type="paragraph" w:styleId="Prrafodelista">
    <w:name w:val="List Paragraph"/>
    <w:basedOn w:val="Normal"/>
    <w:link w:val="PrrafodelistaCar"/>
    <w:uiPriority w:val="34"/>
    <w:qFormat/>
    <w:rsid w:val="004640A6"/>
    <w:pPr>
      <w:ind w:left="720"/>
      <w:contextualSpacing/>
    </w:pPr>
    <w:rPr>
      <w:rFonts w:eastAsiaTheme="minorEastAsia"/>
      <w:lang w:val="es-ES"/>
    </w:rPr>
  </w:style>
  <w:style w:type="paragraph" w:styleId="Encabezado">
    <w:name w:val="header"/>
    <w:basedOn w:val="Normal"/>
    <w:link w:val="EncabezadoCar"/>
    <w:uiPriority w:val="99"/>
    <w:unhideWhenUsed/>
    <w:rsid w:val="004640A6"/>
    <w:pPr>
      <w:tabs>
        <w:tab w:val="center" w:pos="4419"/>
        <w:tab w:val="right" w:pos="8838"/>
      </w:tabs>
      <w:spacing w:after="0" w:line="240" w:lineRule="auto"/>
    </w:pPr>
    <w:rPr>
      <w:rFonts w:eastAsiaTheme="minorEastAsia"/>
      <w:lang w:val="es-ES"/>
    </w:rPr>
  </w:style>
  <w:style w:type="character" w:customStyle="1" w:styleId="EncabezadoCar">
    <w:name w:val="Encabezado Car"/>
    <w:basedOn w:val="Fuentedeprrafopredeter"/>
    <w:link w:val="Encabezado"/>
    <w:uiPriority w:val="99"/>
    <w:rsid w:val="004640A6"/>
    <w:rPr>
      <w:rFonts w:eastAsiaTheme="minorEastAsia"/>
      <w:lang w:val="es-ES"/>
    </w:rPr>
  </w:style>
  <w:style w:type="paragraph" w:styleId="Listaconvietas2">
    <w:name w:val="List Bullet 2"/>
    <w:basedOn w:val="Normal"/>
    <w:uiPriority w:val="99"/>
    <w:unhideWhenUsed/>
    <w:rsid w:val="004640A6"/>
    <w:pPr>
      <w:numPr>
        <w:numId w:val="3"/>
      </w:numPr>
      <w:spacing w:after="0" w:line="276" w:lineRule="auto"/>
      <w:contextualSpacing/>
    </w:pPr>
    <w:rPr>
      <w:rFonts w:ascii="Times New Roman" w:eastAsia="Times New Roman" w:hAnsi="Times New Roman" w:cs="Times New Roman"/>
      <w:sz w:val="24"/>
      <w:szCs w:val="24"/>
      <w:lang w:val="es-ES" w:eastAsia="es-ES"/>
    </w:rPr>
  </w:style>
  <w:style w:type="paragraph" w:styleId="Listaconvietas3">
    <w:name w:val="List Bullet 3"/>
    <w:basedOn w:val="Normal"/>
    <w:uiPriority w:val="99"/>
    <w:unhideWhenUsed/>
    <w:rsid w:val="004640A6"/>
    <w:pPr>
      <w:numPr>
        <w:numId w:val="5"/>
      </w:numPr>
      <w:spacing w:after="0" w:line="276" w:lineRule="auto"/>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4640A6"/>
    <w:rPr>
      <w:rFonts w:eastAsiaTheme="minorEastAsia"/>
      <w:lang w:val="es-ES"/>
    </w:rPr>
  </w:style>
  <w:style w:type="paragraph" w:styleId="TtulodeTDC">
    <w:name w:val="TOC Heading"/>
    <w:basedOn w:val="Ttulo1"/>
    <w:next w:val="Normal"/>
    <w:uiPriority w:val="39"/>
    <w:unhideWhenUsed/>
    <w:qFormat/>
    <w:rsid w:val="004640A6"/>
    <w:pPr>
      <w:outlineLvl w:val="9"/>
    </w:pPr>
    <w:rPr>
      <w:lang w:val="es-BO" w:eastAsia="es-BO"/>
    </w:rPr>
  </w:style>
  <w:style w:type="paragraph" w:styleId="TDC1">
    <w:name w:val="toc 1"/>
    <w:basedOn w:val="Normal"/>
    <w:next w:val="Normal"/>
    <w:autoRedefine/>
    <w:uiPriority w:val="39"/>
    <w:unhideWhenUsed/>
    <w:rsid w:val="004640A6"/>
    <w:pPr>
      <w:spacing w:after="100"/>
    </w:pPr>
    <w:rPr>
      <w:rFonts w:eastAsiaTheme="minorEastAsia"/>
      <w:lang w:val="es-ES"/>
    </w:rPr>
  </w:style>
  <w:style w:type="paragraph" w:styleId="TDC2">
    <w:name w:val="toc 2"/>
    <w:basedOn w:val="Normal"/>
    <w:next w:val="Normal"/>
    <w:autoRedefine/>
    <w:uiPriority w:val="39"/>
    <w:unhideWhenUsed/>
    <w:rsid w:val="004640A6"/>
    <w:pPr>
      <w:spacing w:after="100"/>
      <w:ind w:left="220"/>
    </w:pPr>
    <w:rPr>
      <w:rFonts w:eastAsiaTheme="minorEastAsia"/>
      <w:lang w:val="es-ES"/>
    </w:rPr>
  </w:style>
  <w:style w:type="paragraph" w:styleId="TDC3">
    <w:name w:val="toc 3"/>
    <w:basedOn w:val="Normal"/>
    <w:next w:val="Normal"/>
    <w:autoRedefine/>
    <w:uiPriority w:val="39"/>
    <w:unhideWhenUsed/>
    <w:rsid w:val="004640A6"/>
    <w:pPr>
      <w:spacing w:after="100"/>
      <w:ind w:left="440"/>
    </w:pPr>
    <w:rPr>
      <w:rFonts w:eastAsiaTheme="minorEastAsia"/>
      <w:lang w:val="es-ES"/>
    </w:rPr>
  </w:style>
  <w:style w:type="character" w:styleId="Hipervnculo">
    <w:name w:val="Hyperlink"/>
    <w:basedOn w:val="Fuentedeprrafopredeter"/>
    <w:uiPriority w:val="99"/>
    <w:unhideWhenUsed/>
    <w:rsid w:val="004640A6"/>
    <w:rPr>
      <w:color w:val="0563C1" w:themeColor="hyperlink"/>
      <w:u w:val="single"/>
    </w:rPr>
  </w:style>
  <w:style w:type="paragraph" w:customStyle="1" w:styleId="Default">
    <w:name w:val="Default"/>
    <w:rsid w:val="004640A6"/>
    <w:pPr>
      <w:autoSpaceDE w:val="0"/>
      <w:autoSpaceDN w:val="0"/>
      <w:adjustRightInd w:val="0"/>
      <w:spacing w:after="0" w:line="240" w:lineRule="auto"/>
    </w:pPr>
    <w:rPr>
      <w:rFonts w:ascii="Arial" w:hAnsi="Arial" w:cs="Arial"/>
      <w:color w:val="000000"/>
      <w:sz w:val="24"/>
      <w:szCs w:val="24"/>
      <w:lang w:val="en-US"/>
    </w:rPr>
  </w:style>
  <w:style w:type="paragraph" w:styleId="Piedepgina">
    <w:name w:val="footer"/>
    <w:basedOn w:val="Normal"/>
    <w:link w:val="PiedepginaCar"/>
    <w:uiPriority w:val="99"/>
    <w:unhideWhenUsed/>
    <w:rsid w:val="0054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DE62-92A6-4AA0-B2EB-D5597616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3111</Words>
  <Characters>17115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2019-06-01T13:57:00Z</dcterms:created>
  <dcterms:modified xsi:type="dcterms:W3CDTF">2019-06-24T03:22:00Z</dcterms:modified>
</cp:coreProperties>
</file>