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2/09/2020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alcance de la solución para el spring 1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la arquitectura general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los servicios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Asignación de tareas y responsables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de alcance de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arquitectura de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front aplicación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Se ajusta alcance inicial para primera entrega del proyecto (spring 1)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xrpvckhmjbhc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Se define arquitectura general de la solución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932s9hcgje35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Se definen los servicios de la aplicación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rcwvztz9s8lv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Se asignan responsables a cada una de las actividades a realizar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