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8/09/2020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09:00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arquitectura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pendientes desarrollo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alcance entrega final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de 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pendientes desarrollo y alcance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revisan los diagramas y se realizan ajustes de acuerdo a lo indicado por el profesor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18tbypqsy4i8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Se acuerdan los pendientes de desarrollo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km4fm4nkpi0g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revisan flujos de trabajo de las actividades de tomar tarea y como se debe guardar información en la base de datos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  <w:u w:val="none"/>
        </w:rPr>
      </w:pPr>
      <w:bookmarkStart w:colFirst="0" w:colLast="0" w:name="_e2q3jke2gmcv" w:id="4"/>
      <w:bookmarkEnd w:id="4"/>
      <w:r w:rsidDel="00000000" w:rsidR="00000000" w:rsidRPr="00000000">
        <w:rPr>
          <w:sz w:val="20"/>
          <w:szCs w:val="20"/>
          <w:highlight w:val="white"/>
          <w:rtl w:val="0"/>
        </w:rPr>
        <w:t xml:space="preserve">Se acuerda alcance para entrega final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0"/>
          <w:szCs w:val="20"/>
          <w:highlight w:val="white"/>
        </w:rPr>
      </w:pPr>
      <w:bookmarkStart w:colFirst="0" w:colLast="0" w:name="_cogqvho6vszv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