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黑体" w:hAnsi="黑体" w:eastAsia="黑体"/>
          <w:sz w:val="36"/>
        </w:rPr>
        <w:t>李华</w:t>
      </w:r>
    </w:p>
    <w:p>
      <w:pPr>
        <w:spacing w:line="360" w:lineRule="auto" w:after="160"/>
        <w:ind w:firstLine="480"/>
      </w:pPr>
      <w:r>
        <w:rPr>
          <w:rFonts w:ascii="宋体" w:hAnsi="宋体" w:eastAsia="宋体"/>
          <w:sz w:val="24"/>
        </w:rPr>
        <w:t>人工智能在教育领域的应用越来越广泛。李华等人对此展开研究[1]。</w:t>
      </w:r>
    </w:p>
    <w:p>
      <w:pPr>
        <w:spacing w:before="200" w:after="120"/>
      </w:pPr>
      <w:r>
        <w:rPr>
          <w:rFonts w:ascii="黑体" w:hAnsi="黑体" w:eastAsia="黑体"/>
          <w:sz w:val="30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李华. 智能教育研究[J]. 计算机应用,2024,10(2):20-28.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