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137B5" w14:textId="50CB64B8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Dataset Summary — 1 Fiscal Environment</w:t>
      </w:r>
    </w:p>
    <w:p w14:paraId="38F2F066" w14:textId="77777777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Category: Fiscal Environment</w:t>
      </w:r>
    </w:p>
    <w:p w14:paraId="5AFD4422" w14:textId="2F223610" w:rsidR="00243AFE" w:rsidRPr="009E5DE9" w:rsidRDefault="009E5DE9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Number</w:t>
      </w:r>
      <w:r>
        <w:rPr>
          <w:rFonts w:ascii="Times New Roman" w:hAnsi="Times New Roman" w:cs="Times New Roman" w:hint="eastAsia"/>
        </w:rPr>
        <w:t xml:space="preserve"> </w:t>
      </w:r>
      <w:r w:rsidR="00243AFE" w:rsidRPr="009E5DE9">
        <w:rPr>
          <w:rFonts w:ascii="Times New Roman" w:hAnsi="Times New Roman" w:cs="Times New Roman"/>
        </w:rPr>
        <w:t>of PDFs: 6</w:t>
      </w:r>
    </w:p>
    <w:p w14:paraId="412BA657" w14:textId="4E80D110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Total Pages: 22</w:t>
      </w:r>
    </w:p>
    <w:p w14:paraId="6C5481E0" w14:textId="3EE13711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Update Range: Jul 2021 – May 2025</w:t>
      </w:r>
    </w:p>
    <w:p w14:paraId="02D962F7" w14:textId="77777777" w:rsidR="00243AFE" w:rsidRPr="009E5DE9" w:rsidRDefault="00243AFE" w:rsidP="00243AF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8"/>
      </w:tblGrid>
      <w:tr w:rsidR="009E5DE9" w:rsidRPr="009E5DE9" w14:paraId="44E4E1BF" w14:textId="77777777" w:rsidTr="00243AFE">
        <w:tc>
          <w:tcPr>
            <w:tcW w:w="2337" w:type="dxa"/>
          </w:tcPr>
          <w:p w14:paraId="65899727" w14:textId="657EA238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2338" w:type="dxa"/>
          </w:tcPr>
          <w:p w14:paraId="2FD45FBC" w14:textId="3320B61E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Pages</w:t>
            </w:r>
          </w:p>
        </w:tc>
        <w:tc>
          <w:tcPr>
            <w:tcW w:w="2338" w:type="dxa"/>
          </w:tcPr>
          <w:p w14:paraId="01696F71" w14:textId="44E2863B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Last Updated</w:t>
            </w:r>
          </w:p>
        </w:tc>
      </w:tr>
      <w:tr w:rsidR="009E5DE9" w:rsidRPr="009E5DE9" w14:paraId="7F1E70F8" w14:textId="77777777" w:rsidTr="00243AFE">
        <w:tc>
          <w:tcPr>
            <w:tcW w:w="2337" w:type="dxa"/>
          </w:tcPr>
          <w:p w14:paraId="58BDFA7A" w14:textId="1C75E8E7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2338" w:type="dxa"/>
          </w:tcPr>
          <w:p w14:paraId="0C4B967D" w14:textId="1A0F9194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4AD8ED8F" w14:textId="20729E9E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July 14, 2021</w:t>
            </w:r>
          </w:p>
        </w:tc>
      </w:tr>
      <w:tr w:rsidR="009E5DE9" w:rsidRPr="009E5DE9" w14:paraId="418B56B5" w14:textId="77777777" w:rsidTr="00243AFE">
        <w:tc>
          <w:tcPr>
            <w:tcW w:w="2337" w:type="dxa"/>
          </w:tcPr>
          <w:p w14:paraId="1BB52FDC" w14:textId="1A0AD647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2338" w:type="dxa"/>
          </w:tcPr>
          <w:p w14:paraId="5BC195EB" w14:textId="6250AD56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8" w:type="dxa"/>
          </w:tcPr>
          <w:p w14:paraId="2CA142C5" w14:textId="52AD58F9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August 24, 2021</w:t>
            </w:r>
          </w:p>
        </w:tc>
      </w:tr>
      <w:tr w:rsidR="009E5DE9" w:rsidRPr="009E5DE9" w14:paraId="5F54B1A7" w14:textId="77777777" w:rsidTr="00243AFE">
        <w:tc>
          <w:tcPr>
            <w:tcW w:w="2337" w:type="dxa"/>
          </w:tcPr>
          <w:p w14:paraId="198A411D" w14:textId="5674E3B3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2338" w:type="dxa"/>
          </w:tcPr>
          <w:p w14:paraId="15BBF356" w14:textId="4C169C86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8" w:type="dxa"/>
          </w:tcPr>
          <w:p w14:paraId="6672DB51" w14:textId="1BC36E79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September 2, 2022</w:t>
            </w:r>
          </w:p>
        </w:tc>
      </w:tr>
      <w:tr w:rsidR="009E5DE9" w:rsidRPr="009E5DE9" w14:paraId="6F302A6B" w14:textId="77777777" w:rsidTr="00243AFE">
        <w:tc>
          <w:tcPr>
            <w:tcW w:w="2337" w:type="dxa"/>
          </w:tcPr>
          <w:p w14:paraId="4F303DD7" w14:textId="03C13935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2338" w:type="dxa"/>
          </w:tcPr>
          <w:p w14:paraId="7A356E1B" w14:textId="1A7FAA2E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6ECDFB57" w14:textId="3FEC397D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May 15, 2025</w:t>
            </w:r>
          </w:p>
        </w:tc>
      </w:tr>
      <w:tr w:rsidR="009E5DE9" w:rsidRPr="009E5DE9" w14:paraId="1FAB49EC" w14:textId="77777777" w:rsidTr="00243AFE">
        <w:tc>
          <w:tcPr>
            <w:tcW w:w="2337" w:type="dxa"/>
          </w:tcPr>
          <w:p w14:paraId="25D847C7" w14:textId="4BA373BC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338" w:type="dxa"/>
          </w:tcPr>
          <w:p w14:paraId="2A2A327A" w14:textId="2EB076F6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8" w:type="dxa"/>
          </w:tcPr>
          <w:p w14:paraId="2FDF2C17" w14:textId="4C158B95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July 13, 2021</w:t>
            </w:r>
          </w:p>
        </w:tc>
      </w:tr>
      <w:tr w:rsidR="009E5DE9" w:rsidRPr="009E5DE9" w14:paraId="3D1E8624" w14:textId="77777777" w:rsidTr="00243AFE">
        <w:tc>
          <w:tcPr>
            <w:tcW w:w="2337" w:type="dxa"/>
          </w:tcPr>
          <w:p w14:paraId="093F94DD" w14:textId="4E0C8377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2338" w:type="dxa"/>
          </w:tcPr>
          <w:p w14:paraId="69FDE93D" w14:textId="42D08373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8" w:type="dxa"/>
          </w:tcPr>
          <w:p w14:paraId="4CE9B701" w14:textId="112B8E46" w:rsidR="009E5DE9" w:rsidRPr="009E5DE9" w:rsidRDefault="009E5DE9" w:rsidP="00243AFE">
            <w:pPr>
              <w:rPr>
                <w:rFonts w:ascii="Times New Roman" w:hAnsi="Times New Roman" w:cs="Times New Roman"/>
              </w:rPr>
            </w:pPr>
            <w:r w:rsidRPr="009E5DE9">
              <w:rPr>
                <w:rFonts w:ascii="Times New Roman" w:hAnsi="Times New Roman" w:cs="Times New Roman"/>
              </w:rPr>
              <w:t>July 13, 2021</w:t>
            </w:r>
          </w:p>
        </w:tc>
      </w:tr>
    </w:tbl>
    <w:p w14:paraId="1F534EDB" w14:textId="77777777" w:rsidR="00243AFE" w:rsidRPr="009E5DE9" w:rsidRDefault="00243AFE" w:rsidP="00243AFE">
      <w:pPr>
        <w:rPr>
          <w:rFonts w:ascii="Times New Roman" w:hAnsi="Times New Roman" w:cs="Times New Roman"/>
        </w:rPr>
      </w:pPr>
    </w:p>
    <w:p w14:paraId="1FD5D19D" w14:textId="5DC60964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Content types</w:t>
      </w:r>
    </w:p>
    <w:p w14:paraId="1A30B144" w14:textId="10B272D8" w:rsidR="00AE2CFA" w:rsidRPr="009E5DE9" w:rsidRDefault="00441C79" w:rsidP="00AE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Mainly written provisions, adopting a unified structure (Policy Statement/Reason/Applicability/Procedure)</w:t>
      </w:r>
      <w:r>
        <w:rPr>
          <w:rFonts w:ascii="Times New Roman" w:hAnsi="Times New Roman" w:cs="Times New Roman" w:hint="eastAsia"/>
        </w:rPr>
        <w:t>.</w:t>
      </w:r>
    </w:p>
    <w:p w14:paraId="6BF90E4D" w14:textId="30DCEAAA" w:rsidR="00AE2CFA" w:rsidRPr="009E5DE9" w:rsidRDefault="00441C79" w:rsidP="00AE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Most of them are lists and steps, with very few tables and data graphs</w:t>
      </w:r>
      <w:r>
        <w:rPr>
          <w:rFonts w:ascii="Times New Roman" w:hAnsi="Times New Roman" w:cs="Times New Roman" w:hint="eastAsia"/>
        </w:rPr>
        <w:t>.</w:t>
      </w:r>
    </w:p>
    <w:p w14:paraId="699D6858" w14:textId="29FDE3CF" w:rsidR="00AE2CFA" w:rsidRPr="009E5DE9" w:rsidRDefault="00441C79" w:rsidP="00AE2C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There are many Additional Resources and Contacts attached, but they are not considered separate files</w:t>
      </w:r>
      <w:r>
        <w:rPr>
          <w:rFonts w:ascii="Times New Roman" w:hAnsi="Times New Roman" w:cs="Times New Roman" w:hint="eastAsia"/>
        </w:rPr>
        <w:t>.</w:t>
      </w:r>
    </w:p>
    <w:p w14:paraId="0C9A9543" w14:textId="77777777" w:rsidR="00AE2CFA" w:rsidRPr="009E5DE9" w:rsidRDefault="00AE2CFA" w:rsidP="00243AFE">
      <w:pPr>
        <w:rPr>
          <w:rFonts w:ascii="Times New Roman" w:hAnsi="Times New Roman" w:cs="Times New Roman"/>
        </w:rPr>
      </w:pPr>
    </w:p>
    <w:p w14:paraId="3E7D8090" w14:textId="2CB2A00A" w:rsidR="00243AFE" w:rsidRPr="009E5DE9" w:rsidRDefault="00243AFE" w:rsidP="00243AFE">
      <w:pPr>
        <w:rPr>
          <w:rFonts w:ascii="Times New Roman" w:hAnsi="Times New Roman" w:cs="Times New Roman"/>
        </w:rPr>
      </w:pPr>
      <w:r w:rsidRPr="009E5DE9">
        <w:rPr>
          <w:rFonts w:ascii="Times New Roman" w:hAnsi="Times New Roman" w:cs="Times New Roman"/>
        </w:rPr>
        <w:t>Key topics (by section)</w:t>
      </w:r>
    </w:p>
    <w:p w14:paraId="76A329CB" w14:textId="4A99E6C2" w:rsidR="00441C79" w:rsidRPr="00441C79" w:rsidRDefault="00441C79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1.1 Annual Financial Report: Three major financial statements, supplementary materials, and Independent Audit opinion.</w:t>
      </w:r>
    </w:p>
    <w:p w14:paraId="6C8755AB" w14:textId="0049ACB8" w:rsidR="00441C79" w:rsidRPr="00441C79" w:rsidRDefault="00441C79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1.2 Accounting Treatment: Adhere to the GAAP/GASB/AICPA/NACUBO principles and adopt the accrual basis.</w:t>
      </w:r>
    </w:p>
    <w:p w14:paraId="1EEE63F4" w14:textId="2573C52B" w:rsidR="00441C79" w:rsidRPr="00441C79" w:rsidRDefault="00441C79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1.3 Financial Health: Four criteria (cash, equity, income and expenditure, balance), deficit rectification and exceptions.</w:t>
      </w:r>
    </w:p>
    <w:p w14:paraId="3A7D5198" w14:textId="27D06F7D" w:rsidR="00441C79" w:rsidRPr="00441C79" w:rsidRDefault="00441C79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1.4 Deficit Reporting: Deficit reporting and rectification processes at the system/university level.</w:t>
      </w:r>
    </w:p>
    <w:p w14:paraId="74B018C5" w14:textId="1AF454AD" w:rsidR="00441C79" w:rsidRPr="00441C79" w:rsidRDefault="00441C79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1.5 Out-of-state operations: Business compliance procedures and cross-departmental responsibilities (legal counsel, tax, HR, procurement, etc.).</w:t>
      </w:r>
    </w:p>
    <w:p w14:paraId="39A9AF47" w14:textId="6C53C5F8" w:rsidR="00243AFE" w:rsidRPr="009E5DE9" w:rsidRDefault="00441C79" w:rsidP="00441C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41C79">
        <w:rPr>
          <w:rFonts w:ascii="Times New Roman" w:hAnsi="Times New Roman" w:cs="Times New Roman"/>
        </w:rPr>
        <w:t>1.6 Exception Authorization: The CFO &amp; Comptroller may approve policy exceptions in special circumstances.</w:t>
      </w:r>
    </w:p>
    <w:sectPr w:rsidR="00243AFE" w:rsidRPr="009E5DE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39BE2" w14:textId="77777777" w:rsidR="008F32D1" w:rsidRDefault="008F32D1" w:rsidP="009E5DE9">
      <w:pPr>
        <w:spacing w:after="0" w:line="240" w:lineRule="auto"/>
      </w:pPr>
      <w:r>
        <w:separator/>
      </w:r>
    </w:p>
  </w:endnote>
  <w:endnote w:type="continuationSeparator" w:id="0">
    <w:p w14:paraId="01A05A53" w14:textId="77777777" w:rsidR="008F32D1" w:rsidRDefault="008F32D1" w:rsidP="009E5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97735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FE068" w14:textId="0612D06C" w:rsidR="009E5DE9" w:rsidRDefault="009E5DE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5B6639" w14:textId="77777777" w:rsidR="009E5DE9" w:rsidRDefault="009E5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262A7" w14:textId="77777777" w:rsidR="008F32D1" w:rsidRDefault="008F32D1" w:rsidP="009E5DE9">
      <w:pPr>
        <w:spacing w:after="0" w:line="240" w:lineRule="auto"/>
      </w:pPr>
      <w:r>
        <w:separator/>
      </w:r>
    </w:p>
  </w:footnote>
  <w:footnote w:type="continuationSeparator" w:id="0">
    <w:p w14:paraId="2E9F419E" w14:textId="77777777" w:rsidR="008F32D1" w:rsidRDefault="008F32D1" w:rsidP="009E5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34F"/>
    <w:multiLevelType w:val="hybridMultilevel"/>
    <w:tmpl w:val="E6A0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C12D2"/>
    <w:multiLevelType w:val="hybridMultilevel"/>
    <w:tmpl w:val="52E8E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27A40"/>
    <w:multiLevelType w:val="multilevel"/>
    <w:tmpl w:val="6AE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8092D"/>
    <w:multiLevelType w:val="hybridMultilevel"/>
    <w:tmpl w:val="5DC8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946837">
    <w:abstractNumId w:val="2"/>
  </w:num>
  <w:num w:numId="2" w16cid:durableId="1161695403">
    <w:abstractNumId w:val="1"/>
  </w:num>
  <w:num w:numId="3" w16cid:durableId="1310671653">
    <w:abstractNumId w:val="0"/>
  </w:num>
  <w:num w:numId="4" w16cid:durableId="2060207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B1"/>
    <w:rsid w:val="00243AFE"/>
    <w:rsid w:val="00441C79"/>
    <w:rsid w:val="007D2487"/>
    <w:rsid w:val="008D1E17"/>
    <w:rsid w:val="008F32D1"/>
    <w:rsid w:val="00923675"/>
    <w:rsid w:val="009270FD"/>
    <w:rsid w:val="009E5DE9"/>
    <w:rsid w:val="00AE2CFA"/>
    <w:rsid w:val="00B574B1"/>
    <w:rsid w:val="00BA5FE8"/>
    <w:rsid w:val="00DC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C0846"/>
  <w15:chartTrackingRefBased/>
  <w15:docId w15:val="{7074AB0A-D4C4-4C85-B5DF-4FFF32DD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4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3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5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DE9"/>
  </w:style>
  <w:style w:type="paragraph" w:styleId="Footer">
    <w:name w:val="footer"/>
    <w:basedOn w:val="Normal"/>
    <w:link w:val="FooterChar"/>
    <w:uiPriority w:val="99"/>
    <w:unhideWhenUsed/>
    <w:rsid w:val="009E5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1E7C9-9929-4390-A4DE-DD196B3CB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Honglin</dc:creator>
  <cp:keywords/>
  <dc:description/>
  <cp:lastModifiedBy>Liu, Honglin</cp:lastModifiedBy>
  <cp:revision>3</cp:revision>
  <dcterms:created xsi:type="dcterms:W3CDTF">2025-09-20T03:43:00Z</dcterms:created>
  <dcterms:modified xsi:type="dcterms:W3CDTF">2025-09-22T00:28:00Z</dcterms:modified>
</cp:coreProperties>
</file>