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137B5" w14:textId="17DA8FDD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Dataset Summary —</w:t>
      </w:r>
      <w:r w:rsidR="00623C33">
        <w:rPr>
          <w:rFonts w:ascii="Times New Roman" w:hAnsi="Times New Roman" w:cs="Times New Roman"/>
        </w:rPr>
        <w:t xml:space="preserve"> </w:t>
      </w:r>
      <w:r w:rsidR="00411320">
        <w:rPr>
          <w:rFonts w:ascii="Times New Roman" w:hAnsi="Times New Roman" w:cs="Times New Roman"/>
        </w:rPr>
        <w:t>5</w:t>
      </w:r>
      <w:r w:rsidR="00623C33">
        <w:rPr>
          <w:rFonts w:ascii="Times New Roman" w:hAnsi="Times New Roman" w:cs="Times New Roman"/>
        </w:rPr>
        <w:t xml:space="preserve"> </w:t>
      </w:r>
      <w:r w:rsidR="003B1984">
        <w:rPr>
          <w:rFonts w:ascii="Times New Roman" w:hAnsi="Times New Roman" w:cs="Times New Roman"/>
        </w:rPr>
        <w:t>Receivables</w:t>
      </w:r>
    </w:p>
    <w:p w14:paraId="38F2F066" w14:textId="2A695969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 xml:space="preserve">Category: </w:t>
      </w:r>
      <w:r w:rsidR="003B1984">
        <w:rPr>
          <w:rFonts w:ascii="Times New Roman" w:hAnsi="Times New Roman" w:cs="Times New Roman"/>
        </w:rPr>
        <w:t>Receivables</w:t>
      </w:r>
    </w:p>
    <w:p w14:paraId="5AFD4422" w14:textId="4E70BFC1" w:rsidR="00243AFE" w:rsidRPr="009E5DE9" w:rsidRDefault="009E5DE9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Number</w:t>
      </w:r>
      <w:r>
        <w:rPr>
          <w:rFonts w:ascii="Times New Roman" w:hAnsi="Times New Roman" w:cs="Times New Roman" w:hint="eastAsia"/>
        </w:rPr>
        <w:t xml:space="preserve"> </w:t>
      </w:r>
      <w:r w:rsidR="00243AFE" w:rsidRPr="009E5DE9">
        <w:rPr>
          <w:rFonts w:ascii="Times New Roman" w:hAnsi="Times New Roman" w:cs="Times New Roman"/>
        </w:rPr>
        <w:t xml:space="preserve">of PDFs: </w:t>
      </w:r>
      <w:r w:rsidR="00623C33">
        <w:rPr>
          <w:rFonts w:ascii="Times New Roman" w:hAnsi="Times New Roman" w:cs="Times New Roman"/>
        </w:rPr>
        <w:t>1</w:t>
      </w:r>
      <w:r w:rsidR="003B1984">
        <w:rPr>
          <w:rFonts w:ascii="Times New Roman" w:hAnsi="Times New Roman" w:cs="Times New Roman"/>
        </w:rPr>
        <w:t>0</w:t>
      </w:r>
    </w:p>
    <w:p w14:paraId="412BA657" w14:textId="6251C0A9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 xml:space="preserve">Total Pages: </w:t>
      </w:r>
      <w:r w:rsidR="003B1984">
        <w:rPr>
          <w:rFonts w:ascii="Times New Roman" w:hAnsi="Times New Roman" w:cs="Times New Roman"/>
        </w:rPr>
        <w:t>36</w:t>
      </w:r>
    </w:p>
    <w:p w14:paraId="02D962F7" w14:textId="77777777" w:rsidR="00243AFE" w:rsidRPr="009E5DE9" w:rsidRDefault="00243AFE" w:rsidP="00243A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5ABF" w14:paraId="36D1EADE" w14:textId="77777777" w:rsidTr="00A75ABF">
        <w:tc>
          <w:tcPr>
            <w:tcW w:w="3116" w:type="dxa"/>
          </w:tcPr>
          <w:p w14:paraId="523FAE81" w14:textId="6863A392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3117" w:type="dxa"/>
          </w:tcPr>
          <w:p w14:paraId="7016776F" w14:textId="518700DD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Pages</w:t>
            </w:r>
          </w:p>
        </w:tc>
        <w:tc>
          <w:tcPr>
            <w:tcW w:w="3117" w:type="dxa"/>
          </w:tcPr>
          <w:p w14:paraId="28F0BEBC" w14:textId="03CD8B5E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Format</w:t>
            </w:r>
          </w:p>
        </w:tc>
      </w:tr>
      <w:tr w:rsidR="00A75ABF" w14:paraId="439CC470" w14:textId="77777777" w:rsidTr="00A75ABF">
        <w:tc>
          <w:tcPr>
            <w:tcW w:w="3116" w:type="dxa"/>
          </w:tcPr>
          <w:p w14:paraId="2E2C25CF" w14:textId="1AEB899D" w:rsidR="00A75ABF" w:rsidRDefault="003B1984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A75ABF" w:rsidRPr="009E5DE9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3117" w:type="dxa"/>
          </w:tcPr>
          <w:p w14:paraId="6EB343E6" w14:textId="56D9658C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6E40B641" w14:textId="254A62CA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59BAB067" w14:textId="77777777" w:rsidTr="00A75ABF">
        <w:tc>
          <w:tcPr>
            <w:tcW w:w="3116" w:type="dxa"/>
          </w:tcPr>
          <w:p w14:paraId="7028DB05" w14:textId="4A3D41D2" w:rsidR="00A75ABF" w:rsidRDefault="003B1984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5.2.1</w:t>
            </w:r>
          </w:p>
        </w:tc>
        <w:tc>
          <w:tcPr>
            <w:tcW w:w="3117" w:type="dxa"/>
          </w:tcPr>
          <w:p w14:paraId="6A6742F4" w14:textId="64A2961C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16807950" w14:textId="61ADB68C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21A9F6DE" w14:textId="77777777" w:rsidTr="00A75ABF">
        <w:tc>
          <w:tcPr>
            <w:tcW w:w="3116" w:type="dxa"/>
          </w:tcPr>
          <w:p w14:paraId="6A0E3E0D" w14:textId="1C362D27" w:rsidR="00A75ABF" w:rsidRDefault="003B1984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5.2.2</w:t>
            </w:r>
          </w:p>
        </w:tc>
        <w:tc>
          <w:tcPr>
            <w:tcW w:w="3117" w:type="dxa"/>
          </w:tcPr>
          <w:p w14:paraId="3F6F625F" w14:textId="392404B5" w:rsidR="00A75ABF" w:rsidRDefault="003B1984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2F1DB4B3" w14:textId="3B011CC8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67B178E5" w14:textId="77777777" w:rsidTr="00A75ABF">
        <w:tc>
          <w:tcPr>
            <w:tcW w:w="3116" w:type="dxa"/>
          </w:tcPr>
          <w:p w14:paraId="10707333" w14:textId="22464DD3" w:rsidR="00A75ABF" w:rsidRDefault="003B1984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5.2.3</w:t>
            </w:r>
          </w:p>
        </w:tc>
        <w:tc>
          <w:tcPr>
            <w:tcW w:w="3117" w:type="dxa"/>
          </w:tcPr>
          <w:p w14:paraId="4500291E" w14:textId="0EEF8DB3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32364994" w14:textId="5BA7BF5D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517D3445" w14:textId="77777777" w:rsidTr="00A75ABF">
        <w:tc>
          <w:tcPr>
            <w:tcW w:w="3116" w:type="dxa"/>
          </w:tcPr>
          <w:p w14:paraId="1E77E9FF" w14:textId="2CA316C9" w:rsidR="00A75ABF" w:rsidRDefault="003B1984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5.2.4</w:t>
            </w:r>
          </w:p>
        </w:tc>
        <w:tc>
          <w:tcPr>
            <w:tcW w:w="3117" w:type="dxa"/>
          </w:tcPr>
          <w:p w14:paraId="79589853" w14:textId="59839EC0" w:rsidR="00A75ABF" w:rsidRDefault="003B1984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56D8AD4D" w14:textId="3E92FA9B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196ABC73" w14:textId="77777777" w:rsidTr="00A75ABF">
        <w:tc>
          <w:tcPr>
            <w:tcW w:w="3116" w:type="dxa"/>
          </w:tcPr>
          <w:p w14:paraId="4B4B17FA" w14:textId="6E1DF7D1" w:rsidR="00A75ABF" w:rsidRDefault="003B1984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5.2.5</w:t>
            </w:r>
          </w:p>
        </w:tc>
        <w:tc>
          <w:tcPr>
            <w:tcW w:w="3117" w:type="dxa"/>
          </w:tcPr>
          <w:p w14:paraId="1AE3B4A7" w14:textId="49A136CA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2C96348C" w14:textId="7C4C0F67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540F2E49" w14:textId="77777777" w:rsidTr="00A75ABF">
        <w:tc>
          <w:tcPr>
            <w:tcW w:w="3116" w:type="dxa"/>
          </w:tcPr>
          <w:p w14:paraId="2ECC363C" w14:textId="496D9854" w:rsidR="00A75ABF" w:rsidRDefault="003B1984" w:rsidP="00243A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5.2.6</w:t>
            </w:r>
          </w:p>
        </w:tc>
        <w:tc>
          <w:tcPr>
            <w:tcW w:w="3117" w:type="dxa"/>
          </w:tcPr>
          <w:p w14:paraId="6B4966F3" w14:textId="1C4BF176" w:rsidR="00A75ABF" w:rsidRDefault="00A75ABF" w:rsidP="00243A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79FF593B" w14:textId="0CF7ECF7" w:rsidR="00A75ABF" w:rsidRDefault="00A75ABF" w:rsidP="00243A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F12681" w14:paraId="1EAC2719" w14:textId="77777777" w:rsidTr="00A75ABF">
        <w:tc>
          <w:tcPr>
            <w:tcW w:w="3116" w:type="dxa"/>
          </w:tcPr>
          <w:p w14:paraId="656F781D" w14:textId="34E5BE15" w:rsidR="00F12681" w:rsidRDefault="003B1984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F12681">
              <w:rPr>
                <w:rFonts w:ascii="Times New Roman" w:hAnsi="Times New Roman" w:cs="Times New Roman"/>
              </w:rPr>
              <w:t>.3.1</w:t>
            </w:r>
          </w:p>
        </w:tc>
        <w:tc>
          <w:tcPr>
            <w:tcW w:w="3117" w:type="dxa"/>
          </w:tcPr>
          <w:p w14:paraId="005FE953" w14:textId="7D5D7D93" w:rsidR="00F12681" w:rsidRDefault="003B1984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7A86C122" w14:textId="0612CF42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F12681" w14:paraId="3731F258" w14:textId="77777777" w:rsidTr="00A75ABF">
        <w:tc>
          <w:tcPr>
            <w:tcW w:w="3116" w:type="dxa"/>
          </w:tcPr>
          <w:p w14:paraId="4D64A19A" w14:textId="34BBDD6F" w:rsidR="00F12681" w:rsidRDefault="003B1984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F12681">
              <w:rPr>
                <w:rFonts w:ascii="Times New Roman" w:hAnsi="Times New Roman" w:cs="Times New Roman"/>
              </w:rPr>
              <w:t>.3.</w:t>
            </w:r>
            <w:r w:rsidR="00F1268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289881A4" w14:textId="7B4A09D8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7DB22B3E" w14:textId="1AA5CECD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F12681" w14:paraId="439EB4FC" w14:textId="77777777" w:rsidTr="00A75ABF">
        <w:tc>
          <w:tcPr>
            <w:tcW w:w="3116" w:type="dxa"/>
          </w:tcPr>
          <w:p w14:paraId="122AE75F" w14:textId="4F7E6E9E" w:rsidR="00F12681" w:rsidRDefault="003B1984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3117" w:type="dxa"/>
          </w:tcPr>
          <w:p w14:paraId="12FAF358" w14:textId="60DCB8F3" w:rsidR="00F12681" w:rsidRDefault="003B1984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4056238D" w14:textId="65FB4E4F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</w:tbl>
    <w:p w14:paraId="1F534EDB" w14:textId="77777777" w:rsidR="00243AFE" w:rsidRPr="009E5DE9" w:rsidRDefault="00243AFE" w:rsidP="00243AFE">
      <w:pPr>
        <w:rPr>
          <w:rFonts w:ascii="Times New Roman" w:hAnsi="Times New Roman" w:cs="Times New Roman"/>
        </w:rPr>
      </w:pPr>
    </w:p>
    <w:p w14:paraId="1FD5D19D" w14:textId="5DC60964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Content types</w:t>
      </w:r>
    </w:p>
    <w:p w14:paraId="1A30B144" w14:textId="48AEFA97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Mainly written provisions, adopting a unified structure (Policy Statement</w:t>
      </w:r>
      <w:r w:rsidR="00F12681" w:rsidRPr="00441C79">
        <w:rPr>
          <w:rFonts w:ascii="Times New Roman" w:hAnsi="Times New Roman" w:cs="Times New Roman"/>
        </w:rPr>
        <w:t xml:space="preserve"> </w:t>
      </w:r>
      <w:r w:rsidRPr="00441C79">
        <w:rPr>
          <w:rFonts w:ascii="Times New Roman" w:hAnsi="Times New Roman" w:cs="Times New Roman"/>
        </w:rPr>
        <w:t>/Procedure)</w:t>
      </w:r>
      <w:r>
        <w:rPr>
          <w:rFonts w:ascii="Times New Roman" w:hAnsi="Times New Roman" w:cs="Times New Roman" w:hint="eastAsia"/>
        </w:rPr>
        <w:t>.</w:t>
      </w:r>
    </w:p>
    <w:p w14:paraId="6BF90E4D" w14:textId="3C4EF3E0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Most of them are lists and steps</w:t>
      </w:r>
      <w:r w:rsidR="003B1984">
        <w:rPr>
          <w:rFonts w:ascii="Times New Roman" w:hAnsi="Times New Roman" w:cs="Times New Roman"/>
        </w:rPr>
        <w:t xml:space="preserve"> and 5.2.4</w:t>
      </w:r>
      <w:r w:rsidR="005C4757">
        <w:rPr>
          <w:rFonts w:ascii="Times New Roman" w:hAnsi="Times New Roman" w:cs="Times New Roman"/>
        </w:rPr>
        <w:t xml:space="preserve"> </w:t>
      </w:r>
      <w:hyperlink r:id="rId8" w:history="1">
        <w:r w:rsidR="005C4757"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Determine Whether a Student Charge Qualifies as a Receivable</w:t>
        </w:r>
      </w:hyperlink>
      <w:r w:rsidR="005C4757" w:rsidRPr="005C4757">
        <w:rPr>
          <w:rFonts w:ascii="Times New Roman" w:hAnsi="Times New Roman" w:cs="Times New Roman"/>
          <w:color w:val="000000" w:themeColor="text1"/>
        </w:rPr>
        <w:fldChar w:fldCharType="begin"/>
      </w:r>
      <w:r w:rsidR="005C4757" w:rsidRPr="005C4757">
        <w:rPr>
          <w:rFonts w:ascii="Times New Roman" w:hAnsi="Times New Roman" w:cs="Times New Roman"/>
          <w:color w:val="000000" w:themeColor="text1"/>
        </w:rPr>
        <w:instrText>HYPERLINK "https://busfin.uillinois.edu/bfpp/section-5-receivables/determine-student-charge-qualifies-receivable/"</w:instrText>
      </w:r>
      <w:r w:rsidR="005C4757" w:rsidRPr="005C4757">
        <w:rPr>
          <w:rFonts w:ascii="Times New Roman" w:hAnsi="Times New Roman" w:cs="Times New Roman"/>
          <w:color w:val="000000" w:themeColor="text1"/>
        </w:rPr>
      </w:r>
      <w:r w:rsidR="005C4757" w:rsidRPr="005C4757">
        <w:rPr>
          <w:rFonts w:ascii="Times New Roman" w:hAnsi="Times New Roman" w:cs="Times New Roman"/>
          <w:color w:val="000000" w:themeColor="text1"/>
        </w:rPr>
        <w:fldChar w:fldCharType="separate"/>
      </w:r>
      <w:r w:rsidR="005C4757" w:rsidRPr="005C4757">
        <w:rPr>
          <w:rFonts w:ascii="Times New Roman" w:hAnsi="Times New Roman" w:cs="Times New Roman"/>
          <w:color w:val="000000" w:themeColor="text1"/>
        </w:rPr>
        <w:fldChar w:fldCharType="end"/>
      </w:r>
      <w:r w:rsidR="003B1984" w:rsidRPr="005C4757">
        <w:rPr>
          <w:rFonts w:ascii="Times New Roman" w:hAnsi="Times New Roman" w:cs="Times New Roman"/>
          <w:color w:val="000000" w:themeColor="text1"/>
        </w:rPr>
        <w:t xml:space="preserve"> </w:t>
      </w:r>
      <w:r w:rsidR="003B1984">
        <w:rPr>
          <w:rFonts w:ascii="Times New Roman" w:hAnsi="Times New Roman" w:cs="Times New Roman"/>
        </w:rPr>
        <w:t>has a flowchart</w:t>
      </w:r>
    </w:p>
    <w:p w14:paraId="699D6858" w14:textId="29FDE3CF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There are many Additional Resources and Contacts attached, but they are not considered separate files</w:t>
      </w:r>
      <w:r>
        <w:rPr>
          <w:rFonts w:ascii="Times New Roman" w:hAnsi="Times New Roman" w:cs="Times New Roman" w:hint="eastAsia"/>
        </w:rPr>
        <w:t>.</w:t>
      </w:r>
    </w:p>
    <w:p w14:paraId="0C9A9543" w14:textId="3DC9B4EC" w:rsidR="00AE2CFA" w:rsidRPr="009E5DE9" w:rsidRDefault="00CF1DC2" w:rsidP="00243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Sections</w:t>
      </w:r>
    </w:p>
    <w:p w14:paraId="76A329CB" w14:textId="7AC7BC9F" w:rsidR="00441C79" w:rsidRPr="00441C79" w:rsidRDefault="005C4757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F12681">
        <w:rPr>
          <w:rFonts w:ascii="Times New Roman" w:hAnsi="Times New Roman" w:cs="Times New Roman"/>
        </w:rPr>
        <w:t>.</w:t>
      </w:r>
      <w:r w:rsidR="00441C79" w:rsidRPr="00441C79">
        <w:rPr>
          <w:rFonts w:ascii="Times New Roman" w:hAnsi="Times New Roman" w:cs="Times New Roman"/>
        </w:rPr>
        <w:t xml:space="preserve">1 </w:t>
      </w:r>
      <w:hyperlink r:id="rId9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Managing Receivables</w:t>
        </w:r>
      </w:hyperlink>
    </w:p>
    <w:p w14:paraId="6C8755AB" w14:textId="639431FC" w:rsidR="00441C79" w:rsidRPr="005C4757" w:rsidRDefault="005C4757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5</w:t>
      </w:r>
      <w:r w:rsidR="00F1268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="00441C79" w:rsidRPr="00441C7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</w:t>
      </w:r>
      <w:r w:rsidR="00441C79" w:rsidRPr="00F12681">
        <w:rPr>
          <w:rFonts w:ascii="Times New Roman" w:hAnsi="Times New Roman" w:cs="Times New Roman"/>
        </w:rPr>
        <w:t xml:space="preserve"> </w:t>
      </w:r>
      <w:hyperlink r:id="rId10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Obtain Access to Banner Accounts Receivable (Banner AR)</w:t>
        </w:r>
      </w:hyperlink>
    </w:p>
    <w:p w14:paraId="1EEE63F4" w14:textId="09193E41" w:rsidR="00441C79" w:rsidRPr="00F12681" w:rsidRDefault="005C4757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5.2.2</w:t>
      </w:r>
      <w:r w:rsidR="00F12681">
        <w:rPr>
          <w:rFonts w:ascii="Times New Roman" w:hAnsi="Times New Roman" w:cs="Times New Roman"/>
        </w:rPr>
        <w:t xml:space="preserve"> </w:t>
      </w:r>
      <w:hyperlink r:id="rId11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Create a New Non-Student (General-GAR) Account</w:t>
        </w:r>
      </w:hyperlink>
    </w:p>
    <w:p w14:paraId="39A9AF47" w14:textId="07EF6CAE" w:rsidR="00243AFE" w:rsidRPr="005C4757" w:rsidRDefault="005C4757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5.2.3</w:t>
      </w:r>
      <w:r w:rsidR="00F12681">
        <w:rPr>
          <w:rFonts w:ascii="Times New Roman" w:hAnsi="Times New Roman" w:cs="Times New Roman"/>
        </w:rPr>
        <w:t xml:space="preserve"> </w:t>
      </w:r>
      <w:hyperlink r:id="rId12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Process (Assess) Non-Student (General-GAR) Charges in Banner AR</w:t>
        </w:r>
      </w:hyperlink>
    </w:p>
    <w:p w14:paraId="126276CF" w14:textId="75156243" w:rsidR="00F12681" w:rsidRPr="005C4757" w:rsidRDefault="005C4757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5.2.4</w:t>
      </w:r>
      <w:r w:rsidR="00F12681">
        <w:rPr>
          <w:rFonts w:ascii="Times New Roman" w:hAnsi="Times New Roman" w:cs="Times New Roman"/>
        </w:rPr>
        <w:t xml:space="preserve"> </w:t>
      </w:r>
      <w:hyperlink r:id="rId13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Determine Whether a Student Charge Qualifies as a Receivable</w:t>
        </w:r>
      </w:hyperlink>
    </w:p>
    <w:p w14:paraId="606CBCB4" w14:textId="01ACDF5F" w:rsidR="00F12681" w:rsidRPr="005C4757" w:rsidRDefault="005C4757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5.2.5</w:t>
      </w:r>
      <w:r w:rsidR="00F12681">
        <w:rPr>
          <w:rFonts w:ascii="Times New Roman" w:hAnsi="Times New Roman" w:cs="Times New Roman"/>
        </w:rPr>
        <w:t xml:space="preserve"> </w:t>
      </w:r>
      <w:hyperlink r:id="rId14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Process (Assess) Student (SAR) Charges in Banner AR</w:t>
        </w:r>
      </w:hyperlink>
    </w:p>
    <w:p w14:paraId="5E0E2975" w14:textId="1BBCFC19" w:rsidR="00F12681" w:rsidRDefault="005C4757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5.2.6</w:t>
      </w:r>
      <w:r w:rsidR="00F12681">
        <w:rPr>
          <w:rFonts w:ascii="Times New Roman" w:hAnsi="Times New Roman" w:cs="Times New Roman"/>
        </w:rPr>
        <w:t xml:space="preserve"> </w:t>
      </w:r>
      <w:hyperlink r:id="rId15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Process (Assess) Study Abroad Charges in Banner AR</w:t>
        </w:r>
      </w:hyperlink>
    </w:p>
    <w:p w14:paraId="77C60AA5" w14:textId="5D809DC5" w:rsidR="00F12681" w:rsidRDefault="005C4757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F12681">
        <w:rPr>
          <w:rFonts w:ascii="Times New Roman" w:hAnsi="Times New Roman" w:cs="Times New Roman"/>
        </w:rPr>
        <w:t xml:space="preserve">.3.1 </w:t>
      </w:r>
      <w:hyperlink r:id="rId16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Calculate Your Allowance for Uncollectible Receivables</w:t>
        </w:r>
      </w:hyperlink>
    </w:p>
    <w:p w14:paraId="5A306732" w14:textId="194CB785" w:rsidR="00F12681" w:rsidRDefault="005C4757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F12681">
        <w:rPr>
          <w:rFonts w:ascii="Times New Roman" w:hAnsi="Times New Roman" w:cs="Times New Roman"/>
        </w:rPr>
        <w:t xml:space="preserve">.3.2 </w:t>
      </w:r>
      <w:hyperlink r:id="rId17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Collect Delinquent Accounts Receivable</w:t>
        </w:r>
      </w:hyperlink>
    </w:p>
    <w:p w14:paraId="1E4F5C5F" w14:textId="4E6D0761" w:rsidR="00F12681" w:rsidRPr="00F12681" w:rsidRDefault="005C4757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5.4   </w:t>
      </w:r>
      <w:hyperlink r:id="rId18" w:history="1">
        <w:r w:rsidRPr="005C475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Request an Exemption from Using Banner Accounts Receivable (Banner AR)</w:t>
        </w:r>
      </w:hyperlink>
    </w:p>
    <w:sectPr w:rsidR="00F12681" w:rsidRPr="00F12681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D4CAB" w14:textId="77777777" w:rsidR="001766DA" w:rsidRDefault="001766DA" w:rsidP="009E5DE9">
      <w:pPr>
        <w:spacing w:after="0" w:line="240" w:lineRule="auto"/>
      </w:pPr>
      <w:r>
        <w:separator/>
      </w:r>
    </w:p>
  </w:endnote>
  <w:endnote w:type="continuationSeparator" w:id="0">
    <w:p w14:paraId="5AE1EC9A" w14:textId="77777777" w:rsidR="001766DA" w:rsidRDefault="001766DA" w:rsidP="009E5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97735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FE068" w14:textId="0612D06C" w:rsidR="009E5DE9" w:rsidRDefault="009E5D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5B6639" w14:textId="77777777" w:rsidR="009E5DE9" w:rsidRDefault="009E5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48DC2" w14:textId="77777777" w:rsidR="001766DA" w:rsidRDefault="001766DA" w:rsidP="009E5DE9">
      <w:pPr>
        <w:spacing w:after="0" w:line="240" w:lineRule="auto"/>
      </w:pPr>
      <w:r>
        <w:separator/>
      </w:r>
    </w:p>
  </w:footnote>
  <w:footnote w:type="continuationSeparator" w:id="0">
    <w:p w14:paraId="0C33DA17" w14:textId="77777777" w:rsidR="001766DA" w:rsidRDefault="001766DA" w:rsidP="009E5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4734F"/>
    <w:multiLevelType w:val="hybridMultilevel"/>
    <w:tmpl w:val="E6A0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C12D2"/>
    <w:multiLevelType w:val="hybridMultilevel"/>
    <w:tmpl w:val="52E8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27A40"/>
    <w:multiLevelType w:val="multilevel"/>
    <w:tmpl w:val="6AE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8092D"/>
    <w:multiLevelType w:val="hybridMultilevel"/>
    <w:tmpl w:val="5DC8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946837">
    <w:abstractNumId w:val="2"/>
  </w:num>
  <w:num w:numId="2" w16cid:durableId="1161695403">
    <w:abstractNumId w:val="1"/>
  </w:num>
  <w:num w:numId="3" w16cid:durableId="1310671653">
    <w:abstractNumId w:val="0"/>
  </w:num>
  <w:num w:numId="4" w16cid:durableId="2060207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B1"/>
    <w:rsid w:val="001766DA"/>
    <w:rsid w:val="00243AFE"/>
    <w:rsid w:val="003B1984"/>
    <w:rsid w:val="00411320"/>
    <w:rsid w:val="00441C79"/>
    <w:rsid w:val="00576B18"/>
    <w:rsid w:val="005C4757"/>
    <w:rsid w:val="00623C33"/>
    <w:rsid w:val="006524B7"/>
    <w:rsid w:val="007D2487"/>
    <w:rsid w:val="008D1E17"/>
    <w:rsid w:val="008F32D1"/>
    <w:rsid w:val="00923675"/>
    <w:rsid w:val="009270FD"/>
    <w:rsid w:val="009E5DE9"/>
    <w:rsid w:val="00A75ABF"/>
    <w:rsid w:val="00AE2CFA"/>
    <w:rsid w:val="00B574B1"/>
    <w:rsid w:val="00BA5FE8"/>
    <w:rsid w:val="00CF1DC2"/>
    <w:rsid w:val="00DC5FEA"/>
    <w:rsid w:val="00F1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0846"/>
  <w15:chartTrackingRefBased/>
  <w15:docId w15:val="{7074AB0A-D4C4-4C85-B5DF-4FFF32DD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4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3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DE9"/>
  </w:style>
  <w:style w:type="paragraph" w:styleId="Footer">
    <w:name w:val="footer"/>
    <w:basedOn w:val="Normal"/>
    <w:link w:val="FooterChar"/>
    <w:uiPriority w:val="99"/>
    <w:unhideWhenUsed/>
    <w:rsid w:val="009E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DE9"/>
  </w:style>
  <w:style w:type="character" w:styleId="Hyperlink">
    <w:name w:val="Hyperlink"/>
    <w:basedOn w:val="DefaultParagraphFont"/>
    <w:uiPriority w:val="99"/>
    <w:unhideWhenUsed/>
    <w:rsid w:val="00F126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6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47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fin.uillinois.edu/bfpp/section-5-receivables/determine-student-charge-qualifies-receivable/" TargetMode="External"/><Relationship Id="rId13" Type="http://schemas.openxmlformats.org/officeDocument/2006/relationships/hyperlink" Target="https://busfin.uillinois.edu/bfpp/section-5-receivables/determine-student-charge-qualifies-receivable/" TargetMode="External"/><Relationship Id="rId18" Type="http://schemas.openxmlformats.org/officeDocument/2006/relationships/hyperlink" Target="https://busfin.uillinois.edu/bfpp/section-5-receivables/request-an-exemption-from-using-banner-ar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busfin.uillinois.edu/bfpp/section-5-receivables/assess-non-student-general-gar-charges-banner-ar/" TargetMode="External"/><Relationship Id="rId17" Type="http://schemas.openxmlformats.org/officeDocument/2006/relationships/hyperlink" Target="https://busfin.uillinois.edu/bfpp/section-5-receivables/collect-delinquent-accounts-receivabl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usfin.uillinois.edu/bfpp/section-5-receivables/calculate-allowance-for-uncollectible-receivable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usfin.uillinois.edu/bfpp/section-5-receivables/create-new-non-student-gar-accoun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usfin.uillinois.edu/bfpp/section-5-receivables/assess-study-abroad-charges-in-banner-ar/" TargetMode="External"/><Relationship Id="rId10" Type="http://schemas.openxmlformats.org/officeDocument/2006/relationships/hyperlink" Target="https://busfin.uillinois.edu/bfpp/section-5-receivables/obtain-access-banner-accounts-receivable-banner-ar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usfin.uillinois.edu/bfpp/section-5-receivables/policy-for-managing-receivables/" TargetMode="External"/><Relationship Id="rId14" Type="http://schemas.openxmlformats.org/officeDocument/2006/relationships/hyperlink" Target="https://busfin.uillinois.edu/bfpp/section-5-receivables/assess-student-sar-charges-in-banner-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1E7C9-9929-4390-A4DE-DD196B3CB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Honglin</dc:creator>
  <cp:keywords/>
  <dc:description/>
  <cp:lastModifiedBy>Aileni, Vamshi Krishna</cp:lastModifiedBy>
  <cp:revision>3</cp:revision>
  <dcterms:created xsi:type="dcterms:W3CDTF">2025-09-23T21:00:00Z</dcterms:created>
  <dcterms:modified xsi:type="dcterms:W3CDTF">2025-09-23T21:09:00Z</dcterms:modified>
</cp:coreProperties>
</file>