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F4E79"/>
          <w:sz w:val="48"/>
          <w:szCs w:val="48"/>
        </w:rPr>
        <w:t xml:space="preserve">ISMAGI</w:t>
      </w:r>
    </w:p>
    <w:p>
      <w:pPr>
        <w:spacing w:after="80" w:before="0"/>
        <w:jc w:val="center"/>
      </w:pPr>
      <w:r>
        <w:rPr>
          <w:rFonts w:ascii="Arial" w:cs="Arial" w:eastAsia="Arial" w:hAnsi="Arial"/>
          <w:color w:val="555555"/>
          <w:sz w:val="22"/>
          <w:szCs w:val="22"/>
        </w:rPr>
        <w:t xml:space="preserve">Institut Superieur de Management, d'Administration et de Genie Informatique</w:t>
      </w:r>
    </w:p>
    <w:p>
      <w:pPr>
        <w:spacing w:after="600" w:before="0"/>
        <w:jc w:val="center"/>
      </w:pPr>
      <w:r>
        <w:rPr>
          <w:rFonts w:ascii="Arial" w:cs="Arial" w:eastAsia="Arial" w:hAnsi="Arial"/>
          <w:color w:val="555555"/>
          <w:sz w:val="24"/>
          <w:szCs w:val="24"/>
        </w:rPr>
        <w:t xml:space="preserve">Filiere : CI 2 Informatique — IA &amp; BI-DS</w:t>
      </w:r>
    </w:p>
    <w:p>
      <w:pPr>
        <w:pBdr>
          <w:top w:val="single" w:color="2E86C1" w:sz="12"/>
          <w:bottom w:val="single" w:color="2E86C1" w:sz="12"/>
        </w:pBdr>
        <w:spacing w:after="80" w:before="200"/>
        <w:jc w:val="center"/>
      </w:pPr>
      <w:r>
        <w:rPr>
          <w:rFonts w:ascii="Arial" w:cs="Arial" w:eastAsia="Arial" w:hAnsi="Arial"/>
          <w:b/>
          <w:bCs/>
          <w:color w:val="2E86C1"/>
          <w:sz w:val="28"/>
          <w:szCs w:val="28"/>
        </w:rPr>
        <w:t xml:space="preserve">RAPPORT DE PROJET</w:t>
      </w:r>
    </w:p>
    <w:p>
      <w:pPr>
        <w:spacing w:after="100" w:before="200"/>
        <w:jc w:val="center"/>
      </w:pPr>
      <w:r>
        <w:rPr>
          <w:rFonts w:ascii="Arial" w:cs="Arial" w:eastAsia="Arial" w:hAnsi="Arial"/>
          <w:b/>
          <w:bCs/>
          <w:color w:val="1F4E79"/>
          <w:sz w:val="52"/>
          <w:szCs w:val="52"/>
        </w:rPr>
        <w:t xml:space="preserve">Pipeline MLOps Complet :</w:t>
      </w:r>
    </w:p>
    <w:p>
      <w:pPr>
        <w:spacing w:after="600" w:before="0"/>
        <w:jc w:val="center"/>
      </w:pPr>
      <w:r>
        <w:rPr>
          <w:rFonts w:ascii="Arial" w:cs="Arial" w:eastAsia="Arial" w:hAnsi="Arial"/>
          <w:b/>
          <w:bCs/>
          <w:color w:val="2E86C1"/>
          <w:sz w:val="40"/>
          <w:szCs w:val="40"/>
        </w:rPr>
        <w:t xml:space="preserve">Prediction du Churn Client dans le Secteur Telecom</w:t>
      </w:r>
    </w:p>
    <w:p>
      <w:pPr>
        <w:spacing w:after="80" w:before="400"/>
        <w:jc w:val="center"/>
      </w:pPr>
      <w:r>
        <w:rPr>
          <w:rFonts w:ascii="Arial" w:cs="Arial" w:eastAsia="Arial" w:hAnsi="Arial"/>
          <w:color w:val="444444"/>
          <w:sz w:val="24"/>
          <w:szCs w:val="24"/>
        </w:rPr>
        <w:t xml:space="preserve">Annee universitaire : 2025 - 2026</w:t>
      </w:r>
    </w:p>
    <w:p>
      <w:pPr>
        <w:spacing w:after="80" w:before="0"/>
        <w:jc w:val="center"/>
      </w:pPr>
      <w:r>
        <w:rPr>
          <w:rFonts w:ascii="Arial" w:cs="Arial" w:eastAsia="Arial" w:hAnsi="Arial"/>
          <w:color w:val="444444"/>
          <w:sz w:val="24"/>
          <w:szCs w:val="24"/>
        </w:rPr>
        <w:t xml:space="preserve">Date de remise : 17 Mai 2026</w:t>
      </w:r>
    </w:p>
    <w:p>
      <w:pPr>
        <w:spacing w:after="160" w:before="160"/>
      </w:pPr>
      <w:r>
        <w:t xml:space="preserve"/>
      </w:r>
    </w:p>
    <w:p>
      <w:pPr>
        <w:spacing w:after="60" w:before="200"/>
        <w:jc w:val="center"/>
      </w:pPr>
      <w:r>
        <w:rPr>
          <w:rFonts w:ascii="Arial" w:cs="Arial" w:eastAsia="Arial" w:hAnsi="Arial"/>
          <w:b/>
          <w:bCs/>
          <w:color w:val="1F4E79"/>
          <w:sz w:val="22"/>
          <w:szCs w:val="22"/>
        </w:rPr>
        <w:t xml:space="preserve">Stack Technique :</w:t>
      </w:r>
    </w:p>
    <w:p>
      <w:pPr>
        <w:spacing w:after="400" w:before="0"/>
        <w:jc w:val="center"/>
      </w:pPr>
      <w:r>
        <w:rPr>
          <w:rFonts w:ascii="Arial" w:cs="Arial" w:eastAsia="Arial" w:hAnsi="Arial"/>
          <w:color w:val="555555"/>
          <w:sz w:val="20"/>
          <w:szCs w:val="20"/>
        </w:rPr>
        <w:t xml:space="preserve">DVC  |  Apache Airflow  |  Great Expectations  |  Pytest  |  MLflow  |  GitHub Actions  |  Docker  |  FastAPI  |  Grafana  |  Evidently AI</w:t>
      </w:r>
    </w:p>
    <w:p>
      <w:r>
        <w:br w:type="page"/>
      </w:r>
    </w:p>
    <w:p>
      <w:pPr>
        <w:pStyle w:val="Heading1"/>
        <w:pBdr>
          <w:bottom w:val="single" w:color="2E86C1" w:sz="8" w:space="4"/>
        </w:pBdr>
        <w:spacing w:after="200" w:before="360"/>
      </w:pPr>
      <w:r>
        <w:rPr>
          <w:rFonts w:ascii="Arial" w:cs="Arial" w:eastAsia="Arial" w:hAnsi="Arial"/>
          <w:b/>
          <w:bCs/>
          <w:color w:val="1F4E79"/>
          <w:sz w:val="36"/>
          <w:szCs w:val="36"/>
        </w:rPr>
        <w:t xml:space="preserve">1. Introduction</w:t>
      </w:r>
    </w:p>
    <w:p>
      <w:pPr>
        <w:pStyle w:val="Heading2"/>
        <w:spacing w:after="140" w:before="280"/>
      </w:pPr>
      <w:r>
        <w:rPr>
          <w:rFonts w:ascii="Arial" w:cs="Arial" w:eastAsia="Arial" w:hAnsi="Arial"/>
          <w:b/>
          <w:bCs/>
          <w:color w:val="2E86C1"/>
          <w:sz w:val="28"/>
          <w:szCs w:val="28"/>
        </w:rPr>
        <w:t xml:space="preserve">1.1 Contexte du Projet</w:t>
      </w:r>
    </w:p>
    <w:p>
      <w:pPr>
        <w:spacing w:after="120" w:before="100"/>
        <w:jc w:val="both"/>
      </w:pPr>
      <w:r>
        <w:rPr>
          <w:rFonts w:ascii="Arial" w:cs="Arial" w:eastAsia="Arial" w:hAnsi="Arial"/>
          <w:sz w:val="22"/>
          <w:szCs w:val="22"/>
        </w:rPr>
        <w:t xml:space="preserve">Dans un secteur des telecommunications en constante evolution, la fidelisation client constitue un enjeu strategique majeur. Le taux de desabonnement — couramment appele churn — represente l'un des indicateurs les plus critiques pour la rentabilite des operateurs. En effet, acquerir un nouveau client coute en moyenne cinq fois plus cher que d'en retenir un existant. Face a cette realite economique, la capacite a anticiper le depart d'un client avant qu'il ne survienne devient un avantage concurrentiel decisif.</w:t>
      </w:r>
    </w:p>
    <w:p>
      <w:pPr>
        <w:spacing w:after="80" w:before="80"/>
      </w:pPr>
      <w:r>
        <w:t xml:space="preserve"/>
      </w:r>
    </w:p>
    <w:p>
      <w:pPr>
        <w:spacing w:after="120" w:before="100"/>
        <w:jc w:val="both"/>
      </w:pPr>
      <w:r>
        <w:rPr>
          <w:rFonts w:ascii="Arial" w:cs="Arial" w:eastAsia="Arial" w:hAnsi="Arial"/>
          <w:sz w:val="22"/>
          <w:szCs w:val="22"/>
        </w:rPr>
        <w:t xml:space="preserve">Ce projet s'inscrit dans le cadre du cours de Machine Learning de la filiere CI 2 Informatique (IA &amp; BI-DS) de l'ISMAGI. Il vise a concevoir et deployer un pipeline MLOps complet — de l'ingestion des donnees jusqu'au monitoring en production — pour resoudre un probleme metier concret : la prediction du churn client d'un operateur de telecommunications.</w:t>
      </w:r>
    </w:p>
    <w:p>
      <w:pPr>
        <w:spacing w:after="80" w:before="80"/>
      </w:pPr>
      <w:r>
        <w:t xml:space="preserve"/>
      </w:r>
    </w:p>
    <w:p>
      <w:pPr>
        <w:pStyle w:val="Heading2"/>
        <w:spacing w:after="140" w:before="280"/>
      </w:pPr>
      <w:r>
        <w:rPr>
          <w:rFonts w:ascii="Arial" w:cs="Arial" w:eastAsia="Arial" w:hAnsi="Arial"/>
          <w:b/>
          <w:bCs/>
          <w:color w:val="2E86C1"/>
          <w:sz w:val="28"/>
          <w:szCs w:val="28"/>
        </w:rPr>
        <w:t xml:space="preserve">1.2 Objectifs Business et Metriques de Succes</w:t>
      </w:r>
    </w:p>
    <w:p>
      <w:pPr>
        <w:spacing w:after="120" w:before="100"/>
        <w:jc w:val="both"/>
      </w:pPr>
      <w:r>
        <w:rPr>
          <w:rFonts w:ascii="Arial" w:cs="Arial" w:eastAsia="Arial" w:hAnsi="Arial"/>
          <w:sz w:val="22"/>
          <w:szCs w:val="22"/>
        </w:rPr>
        <w:t xml:space="preserve">L'objectif metier central est de predire, avec suffisamment d'anticipation, quels clients sont susceptibles de resilier leur abonnement. Cette prediction permet aux equipes commerciales de declencher des actions de retention ciblees (offres personnalisees, appels proactifs, gestes commerciaux) avant que la decision de depart ne soit prise.</w:t>
      </w:r>
    </w:p>
    <w:p>
      <w:pPr>
        <w:spacing w:after="80" w:before="80"/>
      </w:pPr>
      <w:r>
        <w:t xml:space="preserve"/>
      </w:r>
    </w:p>
    <w:p>
      <w:pPr>
        <w:spacing w:after="120" w:before="100"/>
        <w:jc w:val="both"/>
      </w:pPr>
      <w:r>
        <w:rPr>
          <w:rFonts w:ascii="Arial" w:cs="Arial" w:eastAsia="Arial" w:hAnsi="Arial"/>
          <w:b/>
          <w:bCs/>
          <w:sz w:val="22"/>
          <w:szCs w:val="22"/>
        </w:rPr>
        <w:t xml:space="preserve">Objectifs Business (KPIs) :</w:t>
      </w:r>
    </w:p>
    <w:p>
      <w:pPr>
        <w:pStyle w:val="ListParagraph"/>
        <w:numPr>
          <w:ilvl w:val="0"/>
          <w:numId w:val="2"/>
        </w:numPr>
        <w:spacing w:after="60" w:before="60"/>
      </w:pPr>
      <w:r>
        <w:rPr>
          <w:rFonts w:ascii="Arial" w:cs="Arial" w:eastAsia="Arial" w:hAnsi="Arial"/>
          <w:sz w:val="22"/>
          <w:szCs w:val="22"/>
        </w:rPr>
        <w:t xml:space="preserve">Augmenter le taux de retention des clients identifies a risque de +10%</w:t>
      </w:r>
    </w:p>
    <w:p>
      <w:pPr>
        <w:pStyle w:val="ListParagraph"/>
        <w:numPr>
          <w:ilvl w:val="0"/>
          <w:numId w:val="2"/>
        </w:numPr>
        <w:spacing w:after="60" w:before="60"/>
      </w:pPr>
      <w:r>
        <w:rPr>
          <w:rFonts w:ascii="Arial" w:cs="Arial" w:eastAsia="Arial" w:hAnsi="Arial"/>
          <w:sz w:val="22"/>
          <w:szCs w:val="22"/>
        </w:rPr>
        <w:t xml:space="preserve">Reduire le cout d'acquisition client en priorisant la retention</w:t>
      </w:r>
    </w:p>
    <w:p>
      <w:pPr>
        <w:pStyle w:val="ListParagraph"/>
        <w:numPr>
          <w:ilvl w:val="0"/>
          <w:numId w:val="2"/>
        </w:numPr>
        <w:spacing w:after="60" w:before="60"/>
      </w:pPr>
      <w:r>
        <w:rPr>
          <w:rFonts w:ascii="Arial" w:cs="Arial" w:eastAsia="Arial" w:hAnsi="Arial"/>
          <w:sz w:val="22"/>
          <w:szCs w:val="22"/>
        </w:rPr>
        <w:t xml:space="preserve">Permettre aux equipes marketing de cibler les interventions avec precision</w:t>
      </w:r>
    </w:p>
    <w:p>
      <w:pPr>
        <w:spacing w:after="80" w:before="80"/>
      </w:pPr>
      <w:r>
        <w:t xml:space="preserve"/>
      </w:r>
    </w:p>
    <w:p>
      <w:pPr>
        <w:spacing w:after="120" w:before="100"/>
        <w:jc w:val="both"/>
      </w:pPr>
      <w:r>
        <w:rPr>
          <w:rFonts w:ascii="Arial" w:cs="Arial" w:eastAsia="Arial" w:hAnsi="Arial"/>
          <w:b/>
          <w:bCs/>
          <w:sz w:val="22"/>
          <w:szCs w:val="22"/>
        </w:rPr>
        <w:t xml:space="preserve">Metriques ML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Metrique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Cible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Justification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Recall (Priorite 1)</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&gt; 0.80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Manquer un churner est tres couteux — on maximise la detection</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F1-Score</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&gt; 0.75</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Equilibre entre precision et rappel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AUC-ROC</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&gt; 0.85</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Capacite discriminante globale du modele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Precision</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&gt; 0.70</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Eviter trop de fausses alertes de retention</w:t>
            </w:r>
          </w:p>
        </w:tc>
      </w:tr>
    </w:tbl>
    <w:p>
      <w:pPr>
        <w:spacing w:after="160" w:before="160"/>
      </w:pPr>
      <w:r>
        <w:t xml:space="preserve"/>
      </w:r>
    </w:p>
    <w:p>
      <w:pPr>
        <w:spacing w:after="120" w:before="100"/>
        <w:jc w:val="both"/>
      </w:pPr>
      <w:r>
        <w:rPr>
          <w:rFonts w:ascii="Arial" w:cs="Arial" w:eastAsia="Arial" w:hAnsi="Arial"/>
          <w:b/>
          <w:bCs/>
          <w:sz w:val="22"/>
          <w:szCs w:val="22"/>
        </w:rPr>
        <w:t xml:space="preserve">Pourquoi le Recall est prioritaire ? </w:t>
      </w:r>
      <w:r>
        <w:rPr>
          <w:rFonts w:ascii="Arial" w:cs="Arial" w:eastAsia="Arial" w:hAnsi="Arial"/>
          <w:sz w:val="22"/>
          <w:szCs w:val="22"/>
        </w:rPr>
        <w:t xml:space="preserve">Avec 73% de clients non-churners, un modele naive qui predit systematiquement 'pas de churn' obtiendrait 73% d'accuracy sans rien apprendre. Dans notre contexte, un Faux Negatif (churner non detecte) a un cout beaucoup plus eleve qu'un Faux Positif (client non-churner contacte inutilement). L'accuracy est donc une metrique inadaptee — nous privilegions le Recall et le F1-Score.</w:t>
      </w:r>
    </w:p>
    <w:p>
      <w:pPr>
        <w:spacing w:after="80" w:before="80"/>
      </w:pPr>
      <w:r>
        <w:t xml:space="preserve"/>
      </w:r>
    </w:p>
    <w:p>
      <w:pPr>
        <w:pStyle w:val="Heading2"/>
        <w:spacing w:after="140" w:before="280"/>
      </w:pPr>
      <w:r>
        <w:rPr>
          <w:rFonts w:ascii="Arial" w:cs="Arial" w:eastAsia="Arial" w:hAnsi="Arial"/>
          <w:b/>
          <w:bCs/>
          <w:color w:val="2E86C1"/>
          <w:sz w:val="28"/>
          <w:szCs w:val="28"/>
        </w:rPr>
        <w:t xml:space="preserve">1.3 Motivation pour une Approche MLOps</w:t>
      </w:r>
    </w:p>
    <w:p>
      <w:pPr>
        <w:spacing w:after="120" w:before="100"/>
        <w:jc w:val="both"/>
      </w:pPr>
      <w:r>
        <w:rPr>
          <w:rFonts w:ascii="Arial" w:cs="Arial" w:eastAsia="Arial" w:hAnsi="Arial"/>
          <w:sz w:val="22"/>
          <w:szCs w:val="22"/>
        </w:rPr>
        <w:t xml:space="preserve">Un modele de Machine Learning livre comme un simple script Python ne suffit pas en contexte professionnel. Sans industrialisation, les risques sont nombreux : non-reproductibilite des resultats, impossibilite de rollback en cas de regression, absence de monitoring du modele en production, manque de traçabilite des experiences.</w:t>
      </w:r>
    </w:p>
    <w:p>
      <w:pPr>
        <w:spacing w:after="80" w:before="80"/>
      </w:pPr>
      <w:r>
        <w:t xml:space="preserve"/>
      </w:r>
    </w:p>
    <w:p>
      <w:pPr>
        <w:spacing w:after="120" w:before="100"/>
        <w:jc w:val="both"/>
      </w:pPr>
      <w:r>
        <w:rPr>
          <w:rFonts w:ascii="Arial" w:cs="Arial" w:eastAsia="Arial" w:hAnsi="Arial"/>
          <w:sz w:val="22"/>
          <w:szCs w:val="22"/>
        </w:rPr>
        <w:t xml:space="preserve">L'approche MLOps repond a ces enjeux en appliquant les pratiques DevOps au cycle de vie du Machine Learning. Pour ce projet, nous implementons un pipeline complet couvrant huit phases : conception, data engineering, experimentation, orchestration, validation, deploiement, monitoring et gouvernance.</w:t>
      </w:r>
    </w:p>
    <w:p>
      <w:pPr>
        <w:spacing w:after="80" w:before="80"/>
      </w:pPr>
      <w:r>
        <w:t xml:space="preserve"/>
      </w:r>
    </w:p>
    <w:p>
      <w:r>
        <w:br w:type="page"/>
      </w:r>
    </w:p>
    <w:p>
      <w:pPr>
        <w:pStyle w:val="Heading1"/>
        <w:pBdr>
          <w:bottom w:val="single" w:color="2E86C1" w:sz="8" w:space="4"/>
        </w:pBdr>
        <w:spacing w:after="200" w:before="360"/>
      </w:pPr>
      <w:r>
        <w:rPr>
          <w:rFonts w:ascii="Arial" w:cs="Arial" w:eastAsia="Arial" w:hAnsi="Arial"/>
          <w:b/>
          <w:bCs/>
          <w:color w:val="1F4E79"/>
          <w:sz w:val="36"/>
          <w:szCs w:val="36"/>
        </w:rPr>
        <w:t xml:space="preserve">2. Presentation du Dataset</w:t>
      </w:r>
    </w:p>
    <w:p>
      <w:pPr>
        <w:pStyle w:val="Heading2"/>
        <w:spacing w:after="140" w:before="280"/>
      </w:pPr>
      <w:r>
        <w:rPr>
          <w:rFonts w:ascii="Arial" w:cs="Arial" w:eastAsia="Arial" w:hAnsi="Arial"/>
          <w:b/>
          <w:bCs/>
          <w:color w:val="2E86C1"/>
          <w:sz w:val="28"/>
          <w:szCs w:val="28"/>
        </w:rPr>
        <w:t xml:space="preserve">2.1 Origine et Description des Donnees</w:t>
      </w:r>
    </w:p>
    <w:p>
      <w:pPr>
        <w:spacing w:after="120" w:before="100"/>
        <w:jc w:val="both"/>
      </w:pPr>
      <w:r>
        <w:rPr>
          <w:rFonts w:ascii="Arial" w:cs="Arial" w:eastAsia="Arial" w:hAnsi="Arial"/>
          <w:sz w:val="22"/>
          <w:szCs w:val="22"/>
        </w:rPr>
        <w:t xml:space="preserve">Le dataset utilise est le IBM Telco Customer Churn, disponible publiquement sur la plateforme Kaggle. Il a ete produit par IBM pour illustrer des cas d'usage analytiques dans le secteur des telecommunications. Ce jeu de donnees est largement utilise dans la communaute data science comme benchmark pour les problemes de classification binaire appliquee au churn.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Caracteristique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Source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IBM / Kaggle — Telco Customer Churn</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Dimensions</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7 043 clients x 21 colonnes (20 features + 1 cible)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Variable cible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Churn (binaire : Yes / No)</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Type de probleme</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Classification binaire supervisee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Desequilibre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73.5% No Churn / 26.5% Churn</w:t>
            </w:r>
          </w:p>
        </w:tc>
      </w:tr>
    </w:tbl>
    <w:p>
      <w:pPr>
        <w:spacing w:after="160" w:before="160"/>
      </w:pPr>
      <w:r>
        <w:t xml:space="preserve"/>
      </w:r>
    </w:p>
    <w:p>
      <w:pPr>
        <w:spacing w:after="120" w:before="100"/>
        <w:jc w:val="both"/>
      </w:pPr>
      <w:r>
        <w:rPr>
          <w:rFonts w:ascii="Arial" w:cs="Arial" w:eastAsia="Arial" w:hAnsi="Arial"/>
          <w:b/>
          <w:bCs/>
          <w:sz w:val="22"/>
          <w:szCs w:val="22"/>
        </w:rPr>
        <w:t xml:space="preserve">Variables disponibles :</w:t>
      </w:r>
    </w:p>
    <w:p>
      <w:pPr>
        <w:pStyle w:val="ListParagraph"/>
        <w:numPr>
          <w:ilvl w:val="0"/>
          <w:numId w:val="2"/>
        </w:numPr>
        <w:spacing w:after="60" w:before="60"/>
      </w:pPr>
      <w:r>
        <w:rPr>
          <w:rFonts w:ascii="Arial" w:cs="Arial" w:eastAsia="Arial" w:hAnsi="Arial"/>
          <w:sz w:val="22"/>
          <w:szCs w:val="22"/>
        </w:rPr>
        <w:t xml:space="preserve">Variables socio-demographiques : genre, ancienneté (tenure), statut senior, dependants</w:t>
      </w:r>
    </w:p>
    <w:p>
      <w:pPr>
        <w:pStyle w:val="ListParagraph"/>
        <w:numPr>
          <w:ilvl w:val="0"/>
          <w:numId w:val="2"/>
        </w:numPr>
        <w:spacing w:after="60" w:before="60"/>
      </w:pPr>
      <w:r>
        <w:rPr>
          <w:rFonts w:ascii="Arial" w:cs="Arial" w:eastAsia="Arial" w:hAnsi="Arial"/>
          <w:sz w:val="22"/>
          <w:szCs w:val="22"/>
        </w:rPr>
        <w:t xml:space="preserve">Services souscrits : telephonie, Internet (DSL/Fibre), TV, streaming, securite en ligne, support technique</w:t>
      </w:r>
    </w:p>
    <w:p>
      <w:pPr>
        <w:pStyle w:val="ListParagraph"/>
        <w:numPr>
          <w:ilvl w:val="0"/>
          <w:numId w:val="2"/>
        </w:numPr>
        <w:spacing w:after="60" w:before="60"/>
      </w:pPr>
      <w:r>
        <w:rPr>
          <w:rFonts w:ascii="Arial" w:cs="Arial" w:eastAsia="Arial" w:hAnsi="Arial"/>
          <w:sz w:val="22"/>
          <w:szCs w:val="22"/>
        </w:rPr>
        <w:t xml:space="preserve">Variables contractuelles : type de contrat (Month-to-Month, One Year, Two Year), mode de facturation</w:t>
      </w:r>
    </w:p>
    <w:p>
      <w:pPr>
        <w:pStyle w:val="ListParagraph"/>
        <w:numPr>
          <w:ilvl w:val="0"/>
          <w:numId w:val="2"/>
        </w:numPr>
        <w:spacing w:after="60" w:before="60"/>
      </w:pPr>
      <w:r>
        <w:rPr>
          <w:rFonts w:ascii="Arial" w:cs="Arial" w:eastAsia="Arial" w:hAnsi="Arial"/>
          <w:sz w:val="22"/>
          <w:szCs w:val="22"/>
        </w:rPr>
        <w:t xml:space="preserve">Variables financieres : facture mensuelle (MonthlyCharges), facture totale (TotalCharges)</w:t>
      </w:r>
    </w:p>
    <w:p>
      <w:pPr>
        <w:pStyle w:val="ListParagraph"/>
        <w:numPr>
          <w:ilvl w:val="0"/>
          <w:numId w:val="2"/>
        </w:numPr>
        <w:spacing w:after="60" w:before="60"/>
      </w:pPr>
      <w:r>
        <w:rPr>
          <w:rFonts w:ascii="Arial" w:cs="Arial" w:eastAsia="Arial" w:hAnsi="Arial"/>
          <w:sz w:val="22"/>
          <w:szCs w:val="22"/>
        </w:rPr>
        <w:t xml:space="preserve">Variable cible : Churn (Yes = client parti, No = client reste)</w:t>
      </w:r>
    </w:p>
    <w:p>
      <w:pPr>
        <w:spacing w:after="80" w:before="80"/>
      </w:pPr>
      <w:r>
        <w:t xml:space="preserve"/>
      </w:r>
    </w:p>
    <w:p>
      <w:pPr>
        <w:pStyle w:val="Heading2"/>
        <w:spacing w:after="140" w:before="280"/>
      </w:pPr>
      <w:r>
        <w:rPr>
          <w:rFonts w:ascii="Arial" w:cs="Arial" w:eastAsia="Arial" w:hAnsi="Arial"/>
          <w:b/>
          <w:bCs/>
          <w:color w:val="2E86C1"/>
          <w:sz w:val="28"/>
          <w:szCs w:val="28"/>
        </w:rPr>
        <w:t xml:space="preserve">2.2 Versionnage des Donnees avec DVC</w:t>
      </w:r>
    </w:p>
    <w:p>
      <w:pPr>
        <w:spacing w:after="120" w:before="100"/>
        <w:jc w:val="both"/>
      </w:pPr>
      <w:r>
        <w:rPr>
          <w:rFonts w:ascii="Arial" w:cs="Arial" w:eastAsia="Arial" w:hAnsi="Arial"/>
          <w:sz w:val="22"/>
          <w:szCs w:val="22"/>
        </w:rPr>
        <w:t xml:space="preserve">Conformement aux bonnes pratiques MLOps, les donnees brutes sont versionnees avec DVC (Data Version Control). Git ne stocke pas le fichier CSV directement — trop volumineux — mais un fichier pointeur (.dvc) qui reference la version exacte du dataset. Cela garantit la reproductibilite : n'importe quel membre de l'equipe peut reconstruire l'environnement de donnees exact avec une simple commande.</w:t>
      </w:r>
    </w:p>
    <w:p>
      <w:pPr>
        <w:spacing w:after="80" w:before="80"/>
      </w:pPr>
      <w:r>
        <w:t xml:space="preserve"/>
      </w:r>
    </w:p>
    <w:p>
      <w:pPr>
        <w:spacing w:after="120" w:before="100"/>
        <w:jc w:val="both"/>
      </w:pPr>
      <w:r>
        <w:rPr>
          <w:rFonts w:ascii="Arial" w:cs="Arial" w:eastAsia="Arial" w:hAnsi="Arial"/>
          <w:b/>
          <w:bCs/>
          <w:sz w:val="22"/>
          <w:szCs w:val="22"/>
        </w:rPr>
        <w:t xml:space="preserve">Commandes DVC executees :</w:t>
      </w:r>
    </w:p>
    <w:p>
      <w:pPr>
        <w:spacing w:after="80" w:before="80"/>
      </w:pPr>
      <w:r>
        <w:t xml:space="preserve"/>
      </w:r>
    </w:p>
    <w:p>
      <w:pPr>
        <w:shd w:fill="1C1C1C" w:val="clear"/>
        <w:spacing w:after="100" w:before="100"/>
      </w:pPr>
      <w:r>
        <w:rPr>
          <w:rFonts w:ascii="Courier New" w:cs="Courier New" w:eastAsia="Courier New" w:hAnsi="Courier New"/>
          <w:color w:val="00FF41"/>
          <w:sz w:val="20"/>
          <w:szCs w:val="20"/>
        </w:rPr>
        <w:t xml:space="preserve">dvc init</w:t>
      </w:r>
      <w:r>
        <w:rPr>
          <w:rFonts w:ascii="Courier New" w:cs="Courier New" w:eastAsia="Courier New" w:hAnsi="Courier New"/>
          <w:color w:val="888888"/>
          <w:sz w:val="20"/>
          <w:szCs w:val="20"/>
        </w:rPr>
        <w:t xml:space="preserve">                                    # Initialisation du depot DVC</w:t>
      </w:r>
    </w:p>
    <w:p>
      <w:pPr>
        <w:shd w:fill="1C1C1C" w:val="clear"/>
        <w:spacing w:after="100" w:before="0"/>
      </w:pPr>
      <w:r>
        <w:rPr>
          <w:rFonts w:ascii="Courier New" w:cs="Courier New" w:eastAsia="Courier New" w:hAnsi="Courier New"/>
          <w:color w:val="00FF41"/>
          <w:sz w:val="20"/>
          <w:szCs w:val="20"/>
        </w:rPr>
        <w:t xml:space="preserve">dvc add data/raw/WA_Fn-UseC_-Telco-Customer-Churn.csv</w:t>
      </w:r>
      <w:r>
        <w:rPr>
          <w:rFonts w:ascii="Courier New" w:cs="Courier New" w:eastAsia="Courier New" w:hAnsi="Courier New"/>
          <w:color w:val="888888"/>
          <w:sz w:val="20"/>
          <w:szCs w:val="20"/>
        </w:rPr>
        <w:t xml:space="preserve">  # Versionnage du dataset</w:t>
      </w:r>
    </w:p>
    <w:p>
      <w:pPr>
        <w:shd w:fill="1C1C1C" w:val="clear"/>
        <w:spacing w:after="100" w:before="0"/>
      </w:pPr>
      <w:r>
        <w:rPr>
          <w:rFonts w:ascii="Courier New" w:cs="Courier New" w:eastAsia="Courier New" w:hAnsi="Courier New"/>
          <w:color w:val="00FF41"/>
          <w:sz w:val="20"/>
          <w:szCs w:val="20"/>
        </w:rPr>
        <w:t xml:space="preserve">git commit -m "data: add raw telco churn dataset v1 via DVC"</w:t>
      </w:r>
    </w:p>
    <w:p>
      <w:pPr>
        <w:spacing w:after="80" w:before="80"/>
      </w:pPr>
      <w:r>
        <w:t xml:space="preserve"/>
      </w:r>
    </w:p>
    <w:p>
      <w:r>
        <w:br w:type="page"/>
      </w:r>
    </w:p>
    <w:p>
      <w:pPr>
        <w:pStyle w:val="Heading1"/>
        <w:pBdr>
          <w:bottom w:val="single" w:color="2E86C1" w:sz="8" w:space="4"/>
        </w:pBdr>
        <w:spacing w:after="200" w:before="360"/>
      </w:pPr>
      <w:r>
        <w:rPr>
          <w:rFonts w:ascii="Arial" w:cs="Arial" w:eastAsia="Arial" w:hAnsi="Arial"/>
          <w:b/>
          <w:bCs/>
          <w:color w:val="1F4E79"/>
          <w:sz w:val="36"/>
          <w:szCs w:val="36"/>
        </w:rPr>
        <w:t xml:space="preserve">3. Analyse Exploratoire des Donnees (EDA)</w:t>
      </w:r>
    </w:p>
    <w:p>
      <w:pPr>
        <w:spacing w:after="120" w:before="100"/>
        <w:jc w:val="both"/>
      </w:pPr>
      <w:r>
        <w:rPr>
          <w:rFonts w:ascii="Arial" w:cs="Arial" w:eastAsia="Arial" w:hAnsi="Arial"/>
          <w:sz w:val="22"/>
          <w:szCs w:val="22"/>
        </w:rPr>
        <w:t xml:space="preserve">L'analyse exploratoire constitue une etape fondamentale du pipeline MLOps. Elle permet de comprendre la structure des donnees, d'identifier les problemes de qualite et de formuler des hypotheses metier avant toute modelisation. Cette phase a ete realisee en Python avec les librairies pandas, matplotlib et seaborn.</w:t>
      </w:r>
    </w:p>
    <w:p>
      <w:pPr>
        <w:spacing w:after="80" w:before="80"/>
      </w:pPr>
      <w:r>
        <w:t xml:space="preserve"/>
      </w:r>
    </w:p>
    <w:p>
      <w:pPr>
        <w:pStyle w:val="Heading2"/>
        <w:spacing w:after="140" w:before="280"/>
      </w:pPr>
      <w:r>
        <w:rPr>
          <w:rFonts w:ascii="Arial" w:cs="Arial" w:eastAsia="Arial" w:hAnsi="Arial"/>
          <w:b/>
          <w:bCs/>
          <w:color w:val="2E86C1"/>
          <w:sz w:val="28"/>
          <w:szCs w:val="28"/>
        </w:rPr>
        <w:t xml:space="preserve">3.1 Qualite des Donnees et Bug Identifie</w:t>
      </w:r>
    </w:p>
    <w:p>
      <w:pPr>
        <w:spacing w:after="120" w:before="100"/>
        <w:jc w:val="both"/>
      </w:pPr>
      <w:r>
        <w:rPr>
          <w:rFonts w:ascii="Arial" w:cs="Arial" w:eastAsia="Arial" w:hAnsi="Arial"/>
          <w:b/>
          <w:bCs/>
          <w:sz w:val="22"/>
          <w:szCs w:val="22"/>
        </w:rPr>
        <w:t xml:space="preserve">Detection d'un bug critique : </w:t>
      </w:r>
      <w:r>
        <w:rPr>
          <w:rFonts w:ascii="Arial" w:cs="Arial" w:eastAsia="Arial" w:hAnsi="Arial"/>
          <w:sz w:val="22"/>
          <w:szCs w:val="22"/>
        </w:rPr>
        <w:t xml:space="preserve">Lors du chargement, la colonne TotalCharges a ete identifiee comme etant de type object (chaine de caracteres) au lieu de float64. Ce bug provenait de la presence d'espaces vides pour les nouveaux clients (tenure = 0 mois) qui n'avaient pas encore de facturation totale.</w:t>
      </w:r>
    </w:p>
    <w:p>
      <w:pPr>
        <w:spacing w:after="80" w:before="80"/>
      </w:pPr>
      <w:r>
        <w:t xml:space="preserve"/>
      </w:r>
    </w:p>
    <w:p>
      <w:pPr>
        <w:spacing w:after="120" w:before="100"/>
        <w:jc w:val="both"/>
      </w:pPr>
      <w:r>
        <w:rPr>
          <w:rFonts w:ascii="Arial" w:cs="Arial" w:eastAsia="Arial" w:hAnsi="Arial"/>
          <w:sz w:val="22"/>
          <w:szCs w:val="22"/>
        </w:rPr>
        <w:t xml:space="preserve">Correction appliquee avec pd.to_numeric(errors='coerce') : les espaces ont ete convertis en NaN, revelant 11 clients concernes. Ces clients ont une anciennete de 0 mois — ils sont en phase d'onboarding. Leurs TotalCharges ont ete imputes a 0, ce qui est coherent avec la realite metier.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Probleme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Valeurs manquantes initiales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Aucune explicite (isnull = 0)</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Bug cache detecte</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TotalCharges de type object (espaces vides)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Clients affectes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11 (tenure = 0 mois)</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Correction appliquee</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pd.to_numeric(errors='coerce') puis imputation a 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Doublons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Aucun detecte</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Colonne supprimee</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customerID (identifiant non predictif)</w:t>
            </w:r>
          </w:p>
        </w:tc>
      </w:tr>
    </w:tbl>
    <w:p>
      <w:pPr>
        <w:spacing w:after="160" w:before="160"/>
      </w:pPr>
      <w:r>
        <w:t xml:space="preserve"/>
      </w:r>
    </w:p>
    <w:p>
      <w:pPr>
        <w:pStyle w:val="Heading2"/>
        <w:spacing w:after="140" w:before="280"/>
      </w:pPr>
      <w:r>
        <w:rPr>
          <w:rFonts w:ascii="Arial" w:cs="Arial" w:eastAsia="Arial" w:hAnsi="Arial"/>
          <w:b/>
          <w:bCs/>
          <w:color w:val="2E86C1"/>
          <w:sz w:val="28"/>
          <w:szCs w:val="28"/>
        </w:rPr>
        <w:t xml:space="preserve">3.2 Distribution de la Variable Cible</w:t>
      </w:r>
    </w:p>
    <w:p>
      <w:pPr>
        <w:spacing w:after="120" w:before="100"/>
        <w:jc w:val="both"/>
      </w:pPr>
      <w:r>
        <w:rPr>
          <w:rFonts w:ascii="Arial" w:cs="Arial" w:eastAsia="Arial" w:hAnsi="Arial"/>
          <w:sz w:val="22"/>
          <w:szCs w:val="22"/>
        </w:rPr>
        <w:t xml:space="preserve">L'analyse de la variable cible revele un desequilibre de classes modere mais significatif : 73.5% des clients ne churnen pas contre 26.5% qui churnen. Ce desequilibre a deux implications directes sur la strategie de modelisation.</w:t>
      </w:r>
    </w:p>
    <w:p>
      <w:pPr>
        <w:spacing w:after="80" w:before="80"/>
      </w:pPr>
      <w:r>
        <w:t xml:space="preserve"/>
      </w:r>
    </w:p>
    <w:p>
      <w:pPr>
        <w:spacing w:after="120" w:before="100"/>
        <w:jc w:val="both"/>
      </w:pPr>
      <w:r>
        <w:rPr>
          <w:rFonts w:ascii="Arial" w:cs="Arial" w:eastAsia="Arial" w:hAnsi="Arial"/>
          <w:b/>
          <w:bCs/>
          <w:sz w:val="22"/>
          <w:szCs w:val="22"/>
        </w:rPr>
        <w:t xml:space="preserve">Implication 1 — Metrique : </w:t>
      </w:r>
      <w:r>
        <w:rPr>
          <w:rFonts w:ascii="Arial" w:cs="Arial" w:eastAsia="Arial" w:hAnsi="Arial"/>
          <w:sz w:val="22"/>
          <w:szCs w:val="22"/>
        </w:rPr>
        <w:t xml:space="preserve">L'accuracy n'est pas une metrique fiable. Un modele qui predit systematiquement 'No Churn' obtiendrait 73.5% d'accuracy sans avoir rien appris. On privilegie le F1-Score et le Recall.</w:t>
      </w:r>
    </w:p>
    <w:p>
      <w:pPr>
        <w:spacing w:after="80" w:before="80"/>
      </w:pPr>
      <w:r>
        <w:t xml:space="preserve"/>
      </w:r>
    </w:p>
    <w:p>
      <w:pPr>
        <w:spacing w:after="120" w:before="100"/>
        <w:jc w:val="both"/>
      </w:pPr>
      <w:r>
        <w:rPr>
          <w:rFonts w:ascii="Arial" w:cs="Arial" w:eastAsia="Arial" w:hAnsi="Arial"/>
          <w:b/>
          <w:bCs/>
          <w:sz w:val="22"/>
          <w:szCs w:val="22"/>
        </w:rPr>
        <w:t xml:space="preserve">Implication 2 — Split stratifie : </w:t>
      </w:r>
      <w:r>
        <w:rPr>
          <w:rFonts w:ascii="Arial" w:cs="Arial" w:eastAsia="Arial" w:hAnsi="Arial"/>
          <w:sz w:val="22"/>
          <w:szCs w:val="22"/>
        </w:rPr>
        <w:t xml:space="preserve">Le decoupage train/test doit etre stratifie pour garantir que les deux ensembles preservent la meme proportion de 26.5% de churners. Un split non-stratifie risquerait de creer un test set avec seulement 5% de churners, rendant l'evaluation du modele non representative.</w:t>
      </w:r>
    </w:p>
    <w:p>
      <w:pPr>
        <w:spacing w:after="80" w:before="80"/>
      </w:pPr>
      <w:r>
        <w:t xml:space="preserve"/>
      </w:r>
    </w:p>
    <w:p>
      <w:pPr>
        <w:pStyle w:val="Heading2"/>
        <w:spacing w:after="140" w:before="280"/>
      </w:pPr>
      <w:r>
        <w:rPr>
          <w:rFonts w:ascii="Arial" w:cs="Arial" w:eastAsia="Arial" w:hAnsi="Arial"/>
          <w:b/>
          <w:bCs/>
          <w:color w:val="2E86C1"/>
          <w:sz w:val="28"/>
          <w:szCs w:val="28"/>
        </w:rPr>
        <w:t xml:space="preserve">3.3 Analyse des Variables Numeriques</w:t>
      </w:r>
    </w:p>
    <w:p>
      <w:pPr>
        <w:spacing w:after="120" w:before="100"/>
        <w:jc w:val="both"/>
      </w:pPr>
      <w:r>
        <w:rPr>
          <w:rFonts w:ascii="Arial" w:cs="Arial" w:eastAsia="Arial" w:hAnsi="Arial"/>
          <w:sz w:val="22"/>
          <w:szCs w:val="22"/>
        </w:rPr>
        <w:t xml:space="preserve">Trois variables numeriques sont disponibles : tenure (anciennete en mois), MonthlyCharges (facture mensuelle) et TotalCharges (facture totale cumulee). Leur analyse par rapport a la variable cible revele des patterns metier tres interpretables.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Variable</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Moyenne Churners</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Moyenne Non-Churners</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Interpretation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tenure (anciennete)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18.3 mois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38.5 mois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Les churners sont majoritairement nouveaux clients</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MonthlyCharges (facture mensuelle)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74.4 $</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61.3 $</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Les churners paient plus cher — signal fort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TotalCharges (facture totale)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1 531 $</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2 560 $</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Correlated a tenure — voir multicolinearite</w:t>
            </w:r>
          </w:p>
        </w:tc>
      </w:tr>
    </w:tbl>
    <w:p>
      <w:pPr>
        <w:spacing w:after="160" w:before="160"/>
      </w:pPr>
      <w:r>
        <w:t xml:space="preserve"/>
      </w:r>
    </w:p>
    <w:p>
      <w:pPr>
        <w:spacing w:after="120" w:before="100"/>
        <w:jc w:val="both"/>
      </w:pPr>
      <w:r>
        <w:rPr>
          <w:rFonts w:ascii="Arial" w:cs="Arial" w:eastAsia="Arial" w:hAnsi="Arial"/>
          <w:b/>
          <w:bCs/>
          <w:sz w:val="22"/>
          <w:szCs w:val="22"/>
        </w:rPr>
        <w:t xml:space="preserve">Insight cle — Early Churn : </w:t>
      </w:r>
      <w:r>
        <w:rPr>
          <w:rFonts w:ascii="Arial" w:cs="Arial" w:eastAsia="Arial" w:hAnsi="Arial"/>
          <w:sz w:val="22"/>
          <w:szCs w:val="22"/>
        </w:rPr>
        <w:t xml:space="preserve">La periode critique est les 6 premiers mois d'abonnement. Un client qui depasse 24 mois d'anciennete a une probabilite de churn tres faible. Cela suggere de concentrer les actions de retention sur les nouveaux clients, notamment en premiere annee.</w:t>
      </w:r>
    </w:p>
    <w:p>
      <w:pPr>
        <w:spacing w:after="80" w:before="80"/>
      </w:pPr>
      <w:r>
        <w:t xml:space="preserve"/>
      </w:r>
    </w:p>
    <w:p>
      <w:pPr>
        <w:spacing w:after="120" w:before="100"/>
        <w:jc w:val="both"/>
      </w:pPr>
      <w:r>
        <w:rPr>
          <w:rFonts w:ascii="Arial" w:cs="Arial" w:eastAsia="Arial" w:hAnsi="Arial"/>
          <w:b/>
          <w:bCs/>
          <w:sz w:val="22"/>
          <w:szCs w:val="22"/>
        </w:rPr>
        <w:t xml:space="preserve">Multicolinearite detectee : </w:t>
      </w:r>
      <w:r>
        <w:rPr>
          <w:rFonts w:ascii="Arial" w:cs="Arial" w:eastAsia="Arial" w:hAnsi="Arial"/>
          <w:sz w:val="22"/>
          <w:szCs w:val="22"/>
        </w:rPr>
        <w:t xml:space="preserve">La matrice de correlation revele une forte correlation entre tenure et TotalCharges (r &gt; 0.83), ce qui est logique : plus un client reste, plus sa facture totale augmente. Cette multicolinearite sera prise en compte lors du feature engineering.</w:t>
      </w:r>
    </w:p>
    <w:p>
      <w:pPr>
        <w:spacing w:after="80" w:before="80"/>
      </w:pPr>
      <w:r>
        <w:t xml:space="preserve"/>
      </w:r>
    </w:p>
    <w:p>
      <w:pPr>
        <w:pStyle w:val="Heading2"/>
        <w:spacing w:after="140" w:before="280"/>
      </w:pPr>
      <w:r>
        <w:rPr>
          <w:rFonts w:ascii="Arial" w:cs="Arial" w:eastAsia="Arial" w:hAnsi="Arial"/>
          <w:b/>
          <w:bCs/>
          <w:color w:val="2E86C1"/>
          <w:sz w:val="28"/>
          <w:szCs w:val="28"/>
        </w:rPr>
        <w:t xml:space="preserve">3.4 Analyse des Variables Categoriques</w:t>
      </w:r>
    </w:p>
    <w:p>
      <w:pPr>
        <w:spacing w:after="120" w:before="100"/>
        <w:jc w:val="both"/>
      </w:pPr>
      <w:r>
        <w:rPr>
          <w:rFonts w:ascii="Arial" w:cs="Arial" w:eastAsia="Arial" w:hAnsi="Arial"/>
          <w:sz w:val="22"/>
          <w:szCs w:val="22"/>
        </w:rPr>
        <w:t xml:space="preserve">L'analyse du taux de churn par variable categorielle revele trois variables particulierement discriminantes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Modalite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Taux de Churn</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Interpretation Metier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Contract — Month-to-Month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~42%</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Absence d'engagement = depart facile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Contract — One Year</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~11%</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Engagement modere — retention partielle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Contract — Two Year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Engagement fort — clients fideles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InternetService — Fibre optique</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~41%</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Service premium mais insatisfaction elevee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InternetService — DSL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~19%</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Service standard, taux modere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TechSupport — Non</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~41%</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sz w:val="20"/>
                <w:szCs w:val="20"/>
              </w:rPr>
              <w:t xml:space="preserve">Sans support = sentiment d'abandon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TechSupport — Oui</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~15%</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0"/>
                <w:szCs w:val="20"/>
              </w:rPr>
              <w:t xml:space="preserve">Avec support = retention amelioree</w:t>
            </w:r>
          </w:p>
        </w:tc>
      </w:tr>
    </w:tbl>
    <w:p>
      <w:pPr>
        <w:spacing w:after="160" w:before="160"/>
      </w:pPr>
      <w:r>
        <w:t xml:space="preserve"/>
      </w:r>
    </w:p>
    <w:p>
      <w:pPr>
        <w:pStyle w:val="Heading2"/>
        <w:spacing w:after="140" w:before="280"/>
      </w:pPr>
      <w:r>
        <w:rPr>
          <w:rFonts w:ascii="Arial" w:cs="Arial" w:eastAsia="Arial" w:hAnsi="Arial"/>
          <w:b/>
          <w:bCs/>
          <w:color w:val="2E86C1"/>
          <w:sz w:val="28"/>
          <w:szCs w:val="28"/>
        </w:rPr>
        <w:t xml:space="preserve">3.5 Synthese EDA et Implications pour la Modelisation</w:t>
      </w:r>
    </w:p>
    <w:p>
      <w:pPr>
        <w:spacing w:after="120" w:before="100"/>
        <w:jc w:val="both"/>
      </w:pPr>
      <w:r>
        <w:rPr>
          <w:rFonts w:ascii="Arial" w:cs="Arial" w:eastAsia="Arial" w:hAnsi="Arial"/>
          <w:b/>
          <w:bCs/>
          <w:sz w:val="22"/>
          <w:szCs w:val="22"/>
        </w:rPr>
        <w:t xml:space="preserve">Top 3 des features les plus predictives identifiees :</w:t>
      </w:r>
    </w:p>
    <w:p>
      <w:pPr>
        <w:pStyle w:val="ListParagraph"/>
        <w:numPr>
          <w:ilvl w:val="0"/>
          <w:numId w:val="2"/>
        </w:numPr>
        <w:spacing w:after="60" w:before="60"/>
      </w:pPr>
      <w:r>
        <w:rPr>
          <w:rFonts w:ascii="Arial" w:cs="Arial" w:eastAsia="Arial" w:hAnsi="Arial"/>
          <w:sz w:val="22"/>
          <w:szCs w:val="22"/>
        </w:rPr>
        <w:t xml:space="preserve">Contract : La variable la plus discriminante — le type de contrat separe fortement les churners des non-churners</w:t>
      </w:r>
    </w:p>
    <w:p>
      <w:pPr>
        <w:pStyle w:val="ListParagraph"/>
        <w:numPr>
          <w:ilvl w:val="0"/>
          <w:numId w:val="2"/>
        </w:numPr>
        <w:spacing w:after="60" w:before="60"/>
      </w:pPr>
      <w:r>
        <w:rPr>
          <w:rFonts w:ascii="Arial" w:cs="Arial" w:eastAsia="Arial" w:hAnsi="Arial"/>
          <w:sz w:val="22"/>
          <w:szCs w:val="22"/>
        </w:rPr>
        <w:t xml:space="preserve">tenure : L'anciennete est un proxy de la fidelite — les nouveaux clients sont a haut risque</w:t>
      </w:r>
    </w:p>
    <w:p>
      <w:pPr>
        <w:pStyle w:val="ListParagraph"/>
        <w:numPr>
          <w:ilvl w:val="0"/>
          <w:numId w:val="2"/>
        </w:numPr>
        <w:spacing w:after="60" w:before="60"/>
      </w:pPr>
      <w:r>
        <w:rPr>
          <w:rFonts w:ascii="Arial" w:cs="Arial" w:eastAsia="Arial" w:hAnsi="Arial"/>
          <w:sz w:val="22"/>
          <w:szCs w:val="22"/>
        </w:rPr>
        <w:t xml:space="preserve">MonthlyCharges : Les clients qui paient le plus sont aussi ceux qui partent le plus — paradoxe a explorer</w:t>
      </w:r>
    </w:p>
    <w:p>
      <w:pPr>
        <w:spacing w:after="80" w:before="80"/>
      </w:pPr>
      <w:r>
        <w:t xml:space="preserve"/>
      </w:r>
    </w:p>
    <w:p>
      <w:pPr>
        <w:spacing w:after="120" w:before="100"/>
        <w:jc w:val="both"/>
      </w:pPr>
      <w:r>
        <w:rPr>
          <w:rFonts w:ascii="Arial" w:cs="Arial" w:eastAsia="Arial" w:hAnsi="Arial"/>
          <w:b/>
          <w:bCs/>
          <w:sz w:val="22"/>
          <w:szCs w:val="22"/>
        </w:rPr>
        <w:t xml:space="preserve">Decisions techniques issues de l'EDA :</w:t>
      </w:r>
    </w:p>
    <w:p>
      <w:pPr>
        <w:pStyle w:val="ListParagraph"/>
        <w:numPr>
          <w:ilvl w:val="0"/>
          <w:numId w:val="2"/>
        </w:numPr>
        <w:spacing w:after="60" w:before="60"/>
      </w:pPr>
      <w:r>
        <w:rPr>
          <w:rFonts w:ascii="Arial" w:cs="Arial" w:eastAsia="Arial" w:hAnsi="Arial"/>
          <w:sz w:val="22"/>
          <w:szCs w:val="22"/>
        </w:rPr>
        <w:t xml:space="preserve">Stratification du split train/test (73.5% / 26.5% preserve)</w:t>
      </w:r>
    </w:p>
    <w:p>
      <w:pPr>
        <w:pStyle w:val="ListParagraph"/>
        <w:numPr>
          <w:ilvl w:val="0"/>
          <w:numId w:val="2"/>
        </w:numPr>
        <w:spacing w:after="60" w:before="60"/>
      </w:pPr>
      <w:r>
        <w:rPr>
          <w:rFonts w:ascii="Arial" w:cs="Arial" w:eastAsia="Arial" w:hAnsi="Arial"/>
          <w:sz w:val="22"/>
          <w:szCs w:val="22"/>
        </w:rPr>
        <w:t xml:space="preserve">Imputation TotalCharges NaN -&gt; 0 pour les clients tenure=0</w:t>
      </w:r>
    </w:p>
    <w:p>
      <w:pPr>
        <w:pStyle w:val="ListParagraph"/>
        <w:numPr>
          <w:ilvl w:val="0"/>
          <w:numId w:val="2"/>
        </w:numPr>
        <w:spacing w:after="60" w:before="60"/>
      </w:pPr>
      <w:r>
        <w:rPr>
          <w:rFonts w:ascii="Arial" w:cs="Arial" w:eastAsia="Arial" w:hAnsi="Arial"/>
          <w:sz w:val="22"/>
          <w:szCs w:val="22"/>
        </w:rPr>
        <w:t xml:space="preserve">Surveillance de la multicolinearite tenure/TotalCharges</w:t>
      </w:r>
    </w:p>
    <w:p>
      <w:pPr>
        <w:pStyle w:val="ListParagraph"/>
        <w:numPr>
          <w:ilvl w:val="0"/>
          <w:numId w:val="2"/>
        </w:numPr>
        <w:spacing w:after="60" w:before="60"/>
      </w:pPr>
      <w:r>
        <w:rPr>
          <w:rFonts w:ascii="Arial" w:cs="Arial" w:eastAsia="Arial" w:hAnsi="Arial"/>
          <w:sz w:val="22"/>
          <w:szCs w:val="22"/>
        </w:rPr>
        <w:t xml:space="preserve">One-Hot Encoding pour les variables categoriques</w:t>
      </w:r>
    </w:p>
    <w:p>
      <w:pPr>
        <w:pStyle w:val="ListParagraph"/>
        <w:numPr>
          <w:ilvl w:val="0"/>
          <w:numId w:val="2"/>
        </w:numPr>
        <w:spacing w:after="60" w:before="60"/>
      </w:pPr>
      <w:r>
        <w:rPr>
          <w:rFonts w:ascii="Arial" w:cs="Arial" w:eastAsia="Arial" w:hAnsi="Arial"/>
          <w:sz w:val="22"/>
          <w:szCs w:val="22"/>
        </w:rPr>
        <w:t xml:space="preserve">StandardScaler pour les variables numeriques (tenure, MonthlyCharges, TotalCharges)</w:t>
      </w:r>
    </w:p>
    <w:p>
      <w:pPr>
        <w:pStyle w:val="ListParagraph"/>
        <w:numPr>
          <w:ilvl w:val="0"/>
          <w:numId w:val="2"/>
        </w:numPr>
        <w:spacing w:after="60" w:before="60"/>
      </w:pPr>
      <w:r>
        <w:rPr>
          <w:rFonts w:ascii="Arial" w:cs="Arial" w:eastAsia="Arial" w:hAnsi="Arial"/>
          <w:sz w:val="22"/>
          <w:szCs w:val="22"/>
        </w:rPr>
        <w:t xml:space="preserve">Metrique principale : F1-Score et Recall (pas l'accuracy)</w:t>
      </w:r>
    </w:p>
    <w:p>
      <w:pPr>
        <w:spacing w:after="160" w:before="160"/>
      </w:pPr>
      <w:r>
        <w:t xml:space="preserve"/>
      </w:r>
    </w:p>
    <w:p>
      <w:pPr>
        <w:pBdr>
          <w:left w:val="single" w:color="1E8449" w:sz="20" w:space="12"/>
        </w:pBdr>
        <w:spacing w:after="200" w:before="200"/>
      </w:pPr>
      <w:r>
        <w:rPr>
          <w:rFonts w:ascii="Arial" w:cs="Arial" w:eastAsia="Arial" w:hAnsi="Arial"/>
          <w:b/>
          <w:bCs/>
          <w:color w:val="1E8449"/>
          <w:sz w:val="22"/>
          <w:szCs w:val="22"/>
        </w:rPr>
        <w:t xml:space="preserve">   Conclusion EDA : </w:t>
      </w:r>
      <w:r>
        <w:rPr>
          <w:rFonts w:ascii="Arial" w:cs="Arial" w:eastAsia="Arial" w:hAnsi="Arial"/>
          <w:sz w:val="22"/>
          <w:szCs w:val="22"/>
        </w:rPr>
        <w:t xml:space="preserve">Le dataset IBM Telco Churn presente une qualite suffisante pour la modelisation, avec un seul bug de typage corrige. Les insights metier identifies — early churn, impact du type de contrat, correlation MonthlyCharges/churn — guident directement les decisions d'ingenierie des caracteristiques et le choix des algorithmes de classification.</w:t>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2026-05-06T23:10:07.607Z</dcterms:created>
  <dcterms:modified xsi:type="dcterms:W3CDTF">2026-05-06T23:10:07.607Z</dcterms:modified>
</cp:coreProperties>
</file>

<file path=docProps/custom.xml><?xml version="1.0" encoding="utf-8"?>
<Properties xmlns="http://schemas.openxmlformats.org/officeDocument/2006/custom-properties" xmlns:vt="http://schemas.openxmlformats.org/officeDocument/2006/docPropsVTypes"/>
</file>