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Crear un curso.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puede crear un curso dentro de la aplicación, donde podrá agregar estudiantes como participantes, permitiendo la comunicación y el envío de anuncios dentro del grupo.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debe estar registrado y autenticado en la aplicación.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debe tener permisos para crear cursos.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profesor accede a la opción de "Crear curso".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solicita al profesor ingresar los datos del curso (nombre del curso, descripción, código del curso opcional).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profesor agrega a los estudiantes ingresando sus correos institucionales o seleccionándolos de una lista.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que los correos ingresados correspondan a estudiantes registrados.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profesor confirma la creación del curso.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guarda la información del curso en la base de datos.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una solicitud de invitación a los estudiantes agregados.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estudiantes pueden aceptar o rechazar la invitación.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aceptan, el curso aparece en su lista de cursos dentro de la aplicación.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1: El profesor ingresa un correo inválido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Si el profesor ingresa un correo que no está registrado en la plataforma, el sistema muestra un mensaje de error.</w:t>
              <w:br w:type="textWrapping"/>
              <w:t xml:space="preserve">4b. El profesor puede corregir la lista y volver a intentarlo.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2: El estudiante rechaza la invitación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 Si un estudiante rechaza la invitación, el sistema registra la acción y el estudiante no se une al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curso queda registrado en la plataforma con su lista de participantes.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estudiantes aceptados pueden acceder al curso y participar en los chats.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puede gestionar los miembros y enviar anuncios dentro del curso.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2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3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