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 #17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 Autenticación segura.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que los usuarios de la institución académica accedan a la aplicación UNión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(Profesor o Estudiante)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tener una cuenta institucional de Google con un correo terminado en (unal.edu.co) para poder iniciar sesión en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la página principal de la aplicación el usuario hace clic en el botón “Iniciar sesión”.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redirecciona al usuario a la interfaz de inicio de sesión.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hace clic en el botón “Iniciar sesión con Google”.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las cuentas de Google activas en el dispositivo y le permite al usuario seleccionar una para iniciar sesión.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recupera la información del usuario desde Google y verifica que el correo termine en (unal.edu.co)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correo es válido, se genera un token de autenticación seguro.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es redirigido a la interfaz principal de la aplicación.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1: El usuario no tiene una cuenta de Google activa en el dispositivo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4a.Si el usuario no tiene una cuenta de Google activa en el dispositivo, Google solicitará ingresar credenciales (correo y contraseña de Google).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4b.El usuario introduce sus credenciales de Google.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4c.Google verifica las credenciales y, si son correctas, procede con el flujo principal en el paso 5.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4c.Si las credenciales son incorrectas, Google muestra un mensaje de error y solicita reintentar.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2: El correo no cumple con el dominio requerido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5a.Si el correo no cumple con el dominio requerido, el sistema muestra un mensaje de error, no permite el acceso y redirecciona al usuario al paso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autenticado puede acceder a las funcionalidades de la aplicación.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generado y almacenado un token de autenticación válido para la sesión activa.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0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1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