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y185kmwgd4e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2snhw2a8dz2" w:id="1"/>
      <w:bookmarkEnd w:id="1"/>
      <w:r w:rsidDel="00000000" w:rsidR="00000000" w:rsidRPr="00000000">
        <w:rPr>
          <w:rtl w:val="0"/>
        </w:rPr>
        <w:t xml:space="preserve">Historia de Usuario #11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Según la funcionalidad número 11 del documento Proyecto_Final y el diagrama de la base de datos del sistema, para el manejo de notificaciones y mensajería instantánea se utilizará WebSockets, esto justificado en el documento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la(s) funcionalidad(es) requerida(s):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 11: Recibir notificaciones de mensajes nuevos y anuncios importantes en tiempo real mediante WebSockets.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0681288992378"/>
        <w:gridCol w:w="760.8029777880469"/>
        <w:gridCol w:w="1947.0681288992378"/>
        <w:gridCol w:w="2852.4548088373836"/>
        <w:gridCol w:w="760.8029777880469"/>
        <w:gridCol w:w="760.8029777880469"/>
        <w:tblGridChange w:id="0">
          <w:tblGrid>
            <w:gridCol w:w="1947.0681288992378"/>
            <w:gridCol w:w="760.8029777880469"/>
            <w:gridCol w:w="1947.0681288992378"/>
            <w:gridCol w:w="2852.4548088373836"/>
            <w:gridCol w:w="760.8029777880469"/>
            <w:gridCol w:w="760.802977788046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/api/notifications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200,404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servidor envía automáticamente una notificación a través del WebSocket.</w:t>
            </w:r>
          </w:p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notificaciones incluyen el tipo (mensaje/anuncio) y el contenido relevante.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usuario no estaba conectado en ese momento, puede recuperar notificaciones anteriores mediante la API REST </w:t>
            </w:r>
            <w:r w:rsidDel="00000000" w:rsidR="00000000" w:rsidRPr="00000000">
              <w:rPr>
                <w:rtl w:val="0"/>
              </w:rPr>
              <w:t xml:space="preserve">GET /api/notifications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Si existen notificaciones, se recuperan con una respuesta 200 OK. Si no existen notificaciones, se devuelve una respuesta 404 No encontrado.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200: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"user_id": 12345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9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200:</w:t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"status": "success",</w:t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"data": [</w:t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"notification_id": 1,</w:t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"type": "message",</w:t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"content": "Nuevo mensaje de Daniel."</w:t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"notification_id": 2,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"type": "announcement",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"content": "Nueva asignación en Ingeniería de Software."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"message": "Notifications retrieved successfully"</w:t>
            </w:r>
          </w:p>
          <w:p w:rsidR="00000000" w:rsidDel="00000000" w:rsidP="00000000" w:rsidRDefault="00000000" w:rsidRPr="00000000" w14:paraId="000000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</w:t>
            </w:r>
          </w:p>
          <w:p w:rsidR="00000000" w:rsidDel="00000000" w:rsidP="00000000" w:rsidRDefault="00000000" w:rsidRPr="00000000" w14:paraId="0000003D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404: No hay notificaciones</w:t>
            </w:r>
          </w:p>
          <w:p w:rsidR="00000000" w:rsidDel="00000000" w:rsidP="00000000" w:rsidRDefault="00000000" w:rsidRPr="00000000" w14:paraId="00000041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"status": "error",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"data": {},</w:t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"message": "No notifications found"</w:t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Mock up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240" w:before="240" w:lineRule="auto"/>
        <w:rPr/>
      </w:pPr>
      <w:bookmarkStart w:colFirst="0" w:colLast="0" w:name="_yfyi64ex15gf" w:id="2"/>
      <w:bookmarkEnd w:id="2"/>
      <w:r w:rsidDel="00000000" w:rsidR="00000000" w:rsidRPr="00000000">
        <w:rPr>
          <w:rtl w:val="0"/>
        </w:rPr>
        <w:t xml:space="preserve">Interacción esperada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usuario visualiza las notificaciones que tiene disponible en el momento, puede presionar el botón </w:t>
      </w:r>
      <w:r w:rsidDel="00000000" w:rsidR="00000000" w:rsidRPr="00000000">
        <w:rPr>
          <w:b w:val="1"/>
          <w:rtl w:val="0"/>
        </w:rPr>
        <w:t xml:space="preserve">"Consultar Notificaciones Anteriores"</w:t>
      </w:r>
      <w:r w:rsidDel="00000000" w:rsidR="00000000" w:rsidRPr="00000000">
        <w:rPr>
          <w:rtl w:val="0"/>
        </w:rPr>
        <w:t xml:space="preserve"> para ver notificaciones previas.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visual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notificaciones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presentan las notificaciones más recientes en la interfaz.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notificación está categorizada como "Anuncio" o "Mensaje".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“ignorar” la notificaciones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en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nuevas notificaciones aparecen automáticamente sin necesidad de recargar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hs8mp4a8p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Precondiciones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haber iniciado sesión en la plataforma.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existir al menos una notificación generada.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WebSockets o un mecanismo de actualización en tiempo real debe estar funcionando para recibir nuevas notificaciones sin necesidad de actualizar la página.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o4ervttmh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Poscondiciones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ve las notificaciones más recientes en su interfaz.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 consultar el historial de notificaciones si lo necesita.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notificaciones permanecen almacenadas en la base de datos para futuras consultas.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65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66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