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spacing w:after="16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УДК: 004.8:004.932:004.056</w:t>
      </w:r>
    </w:p>
    <w:p w:rsidR="00000000" w:rsidDel="00000000" w:rsidP="00000000" w:rsidRDefault="00000000" w:rsidRPr="00000000" w14:paraId="00000002">
      <w:pPr>
        <w:shd w:fill="ffffff" w:val="clear"/>
        <w:spacing w:after="16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СРАВНИТЕЛЬНЫЙ АНАЛИЗ МЕТОДОВ ВЕРИФИКАЦИИ ПРОИСХОЖДЕНИЯ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ГЕНЕРАТИВНОГО КОНТЕНТА: C2PA, ВОДЯНЫЕ ЗНАКИ И ЦИФРОВЫЕ ОТПЕЧАТКИ</w:t>
      </w:r>
    </w:p>
    <w:p w:rsidR="00000000" w:rsidDel="00000000" w:rsidP="00000000" w:rsidRDefault="00000000" w:rsidRPr="00000000" w14:paraId="00000003">
      <w:pPr>
        <w:shd w:fill="ffffff" w:val="clear"/>
        <w:spacing w:after="160" w:line="360" w:lineRule="auto"/>
        <w:ind w:firstLine="70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Аннотация.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В статье выполнен обзор современных методов верификации происхождения генеративного контента: криптографической аутентификации C2PA, нейросетевых водяных знаков и цифровых отпечатков на основе перцептуальных хэшей. На основе анализа отчёта Microsoft (2026) и работ 2025–2026 гг. выявлен исследовательский пробел: отсутствие эмпирических сравнительных исследований деградации методов при реалистичных атаках. Предложена экспериментальная программа, включающая создание датасета, три конфигурации эксперимента и критерии успеха. Цель работы – идентификация условий, при которых каждый метод эффективнее другого, и выработка алгоритма выбора стратегии верификации.</w:t>
      </w:r>
    </w:p>
    <w:p w:rsidR="00000000" w:rsidDel="00000000" w:rsidP="00000000" w:rsidRDefault="00000000" w:rsidRPr="00000000" w14:paraId="00000004">
      <w:pPr>
        <w:shd w:fill="ffffff" w:val="clear"/>
        <w:spacing w:after="160" w:line="360" w:lineRule="auto"/>
        <w:ind w:firstLine="70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Ключевые слова: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верификация контента, C2PA, водяные знаки, SynthID, Tree-Ring Watermarking, цифровые отпечатки, генеративный искусственный интеллект, детекция дипфейков.</w:t>
      </w:r>
    </w:p>
    <w:p w:rsidR="00000000" w:rsidDel="00000000" w:rsidP="00000000" w:rsidRDefault="00000000" w:rsidRPr="00000000" w14:paraId="00000005">
      <w:pPr>
        <w:shd w:fill="ffffff" w:val="clear"/>
        <w:spacing w:after="160" w:line="360" w:lineRule="auto"/>
        <w:ind w:firstLine="700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1. Обзор литературы (Related Work)</w:t>
      </w:r>
    </w:p>
    <w:p w:rsidR="00000000" w:rsidDel="00000000" w:rsidP="00000000" w:rsidRDefault="00000000" w:rsidRPr="00000000" w14:paraId="00000006">
      <w:pPr>
        <w:shd w:fill="ffffff" w:val="clear"/>
        <w:spacing w:after="160" w:line="360" w:lineRule="auto"/>
        <w:ind w:firstLine="70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 январском отчете Microsoft «Media Integrity and Authentication: Status, Directions, and Futures» (2026) отмечается, что ни один из существующих методов верификации генеративного контента не способен однозначно отличить AI-контент от реального, в связи с чем предлагается комбинировать несколько подходов [1]. Методы верификации происхождения цифрового контента развиваются по трём основным направлениям: криптографическая аутентификация, водяные знаки и цифровые отпечатки.</w:t>
      </w:r>
    </w:p>
    <w:p w:rsidR="00000000" w:rsidDel="00000000" w:rsidP="00000000" w:rsidRDefault="00000000" w:rsidRPr="00000000" w14:paraId="00000007">
      <w:pPr>
        <w:shd w:fill="ffffff" w:val="clear"/>
        <w:spacing w:after="160" w:line="360" w:lineRule="auto"/>
        <w:ind w:firstLine="700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1.1. Стандарты криптографической аутентификации</w:t>
      </w:r>
    </w:p>
    <w:p w:rsidR="00000000" w:rsidDel="00000000" w:rsidP="00000000" w:rsidRDefault="00000000" w:rsidRPr="00000000" w14:paraId="00000008">
      <w:pPr>
        <w:shd w:fill="ffffff" w:val="clear"/>
        <w:spacing w:after="160" w:line="360" w:lineRule="auto"/>
        <w:ind w:firstLine="700"/>
        <w:jc w:val="both"/>
        <w:rPr>
          <w:rFonts w:ascii="Times New Roman" w:cs="Times New Roman" w:eastAsia="Times New Roman" w:hAnsi="Times New Roman"/>
          <w:color w:val="0f1115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Коалицией C2PA (Coalition for Content Provenance and Authenticity) разработан открытый стандарт прикрепления криптографически подписанных манифестов к медиафайлам, что обеспечивает доказуемую неподдельность и публичную верифицируемость [2][3]. </w:t>
      </w:r>
      <w:r w:rsidDel="00000000" w:rsidR="00000000" w:rsidRPr="00000000">
        <w:rPr>
          <w:rFonts w:ascii="Times New Roman" w:cs="Times New Roman" w:eastAsia="Times New Roman" w:hAnsi="Times New Roman"/>
          <w:color w:val="0f1115"/>
          <w:sz w:val="28"/>
          <w:szCs w:val="28"/>
          <w:rtl w:val="0"/>
        </w:rPr>
        <w:t xml:space="preserve">Техническая спецификация C2PA определяет механизмы «жёсткой привязки» через криптографические хэши и «мягкой привязки» через перцептуальные хэши, что позволяет адаптировать уровень защиты под различные сценарии использования [4]. В 2025 году стандарт был формализован как ISO/IEC 21617-1 (JPEG Trust), что укрепило его позиции в международной нормативной базе [5].</w:t>
      </w:r>
    </w:p>
    <w:p w:rsidR="00000000" w:rsidDel="00000000" w:rsidP="00000000" w:rsidRDefault="00000000" w:rsidRPr="00000000" w14:paraId="00000009">
      <w:pPr>
        <w:shd w:fill="ffffff" w:val="clear"/>
        <w:spacing w:after="240" w:before="240" w:line="360" w:lineRule="auto"/>
        <w:jc w:val="both"/>
        <w:rPr>
          <w:rFonts w:ascii="Times New Roman" w:cs="Times New Roman" w:eastAsia="Times New Roman" w:hAnsi="Times New Roman"/>
          <w:color w:val="0f1115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8"/>
          <w:szCs w:val="28"/>
          <w:rtl w:val="0"/>
        </w:rPr>
        <w:t xml:space="preserve">Ключевое ограничение подхода заключается в требовании сохранения метаданных на всём жизненном цикле файла, тогда как современные социальные платформы массово их удаляют. Кроме того, существует риск «атак-инверсии», когда негенеративный контент после незначительной обработки AI-инструментами может быть ошибочно идентифицирован как полностью синтезированный [1].</w:t>
      </w:r>
    </w:p>
    <w:p w:rsidR="00000000" w:rsidDel="00000000" w:rsidP="00000000" w:rsidRDefault="00000000" w:rsidRPr="00000000" w14:paraId="0000000A">
      <w:pPr>
        <w:shd w:fill="ffffff" w:val="clear"/>
        <w:spacing w:after="160" w:line="360" w:lineRule="auto"/>
        <w:ind w:firstLine="70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hd w:fill="ffffff" w:val="clear"/>
        <w:spacing w:after="160" w:line="360" w:lineRule="auto"/>
        <w:ind w:firstLine="700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1.2. Водяные знаки</w:t>
      </w:r>
    </w:p>
    <w:p w:rsidR="00000000" w:rsidDel="00000000" w:rsidP="00000000" w:rsidRDefault="00000000" w:rsidRPr="00000000" w14:paraId="0000000C">
      <w:pPr>
        <w:shd w:fill="ffffff" w:val="clear"/>
        <w:spacing w:after="160" w:line="360" w:lineRule="auto"/>
        <w:ind w:firstLine="70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ML-методы водяных знаков эволюционировали от классических алгоритмов скрытия сигналов в частотной области до сквозных нейросетевых архитектур. Метод Tree-Ring Watermarking внедряет водяной знак не в изображение, а в начальный латентный вектор, обеспечивая высокую незаметность [6]. </w:t>
      </w:r>
      <w:r w:rsidDel="00000000" w:rsidR="00000000" w:rsidRPr="00000000">
        <w:rPr>
          <w:rFonts w:ascii="Times New Roman" w:cs="Times New Roman" w:eastAsia="Times New Roman" w:hAnsi="Times New Roman"/>
          <w:color w:val="0f1115"/>
          <w:sz w:val="28"/>
          <w:szCs w:val="28"/>
          <w:highlight w:val="white"/>
          <w:rtl w:val="0"/>
        </w:rPr>
        <w:t xml:space="preserve">Альтернативный подход Stable Signature встраивает водяной знак непосредственно в декодер модели, позволяя связать каждый сгенерированный образ с конкретным пользователем [7].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0D">
      <w:pPr>
        <w:shd w:fill="ffffff" w:val="clear"/>
        <w:spacing w:after="160" w:line="360" w:lineRule="auto"/>
        <w:ind w:firstLine="700"/>
        <w:jc w:val="both"/>
        <w:rPr>
          <w:rFonts w:ascii="Times New Roman" w:cs="Times New Roman" w:eastAsia="Times New Roman" w:hAnsi="Times New Roman"/>
          <w:color w:val="0f1115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SynthID от Google DeepMind, внедрённый в продукты OpenAI и Nvidia, </w:t>
      </w:r>
      <w:r w:rsidDel="00000000" w:rsidR="00000000" w:rsidRPr="00000000">
        <w:rPr>
          <w:rFonts w:ascii="Times New Roman" w:cs="Times New Roman" w:eastAsia="Times New Roman" w:hAnsi="Times New Roman"/>
          <w:color w:val="0f1115"/>
          <w:sz w:val="28"/>
          <w:szCs w:val="28"/>
          <w:highlight w:val="white"/>
          <w:rtl w:val="0"/>
        </w:rPr>
        <w:t xml:space="preserve">стал первым промышленным решением, сочетающим водяные знаки на уровне пикселей с криптографической аутентификацией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[8]. </w:t>
      </w:r>
      <w:r w:rsidDel="00000000" w:rsidR="00000000" w:rsidRPr="00000000">
        <w:rPr>
          <w:rFonts w:ascii="Times New Roman" w:cs="Times New Roman" w:eastAsia="Times New Roman" w:hAnsi="Times New Roman"/>
          <w:color w:val="0f1115"/>
          <w:sz w:val="28"/>
          <w:szCs w:val="28"/>
          <w:highlight w:val="white"/>
          <w:rtl w:val="0"/>
        </w:rPr>
        <w:t xml:space="preserve">Технически SynthID-Image представляет собой метод встраивания водяного знака после генерации изображения, который внедряет 256-битную полезную нагрузку в пиксельное пространство с использованием свёрточной нейронной сети и обучен на примерах, устойчивых к состязательным атакам [9].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hd w:fill="ffffff" w:val="clear"/>
        <w:spacing w:after="240" w:before="240" w:line="360" w:lineRule="auto"/>
        <w:jc w:val="both"/>
        <w:rPr>
          <w:rFonts w:ascii="Times New Roman" w:cs="Times New Roman" w:eastAsia="Times New Roman" w:hAnsi="Times New Roman"/>
          <w:color w:val="0f1115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8"/>
          <w:szCs w:val="28"/>
          <w:rtl w:val="0"/>
        </w:rPr>
        <w:t xml:space="preserve">Исследования, в частности работа Kassis и Hengartner «UnMarker», демонстрируют, что даже скрытые водяные знаки уязвимы: предложенная атака, использующая комбинацию VAE-регенерации, эластичной деформации и частотной фильтрации, удаляет до 79% водяных знаков SynthID и около 60% Tree-Ring Watermarks [10]. Lin и Juarez дополнительно показали, что использование публичного </w:t>
      </w:r>
      <w:r w:rsidDel="00000000" w:rsidR="00000000" w:rsidRPr="00000000">
        <w:rPr>
          <w:rFonts w:ascii="Times New Roman" w:cs="Times New Roman" w:eastAsia="Times New Roman" w:hAnsi="Times New Roman"/>
          <w:color w:val="0f1115"/>
          <w:sz w:val="28"/>
          <w:szCs w:val="28"/>
          <w:highlight w:val="white"/>
          <w:rtl w:val="0"/>
        </w:rPr>
        <w:t xml:space="preserve">вариационного автоэнкодера</w:t>
      </w:r>
      <w:r w:rsidDel="00000000" w:rsidR="00000000" w:rsidRPr="00000000">
        <w:rPr>
          <w:rFonts w:ascii="Times New Roman" w:cs="Times New Roman" w:eastAsia="Times New Roman" w:hAnsi="Times New Roman"/>
          <w:color w:val="0f1115"/>
          <w:sz w:val="28"/>
          <w:szCs w:val="28"/>
          <w:rtl w:val="0"/>
        </w:rPr>
        <w:t xml:space="preserve"> позволяет обучить суррогатный детектор для Tree-Ring, </w:t>
      </w:r>
      <w:r w:rsidDel="00000000" w:rsidR="00000000" w:rsidRPr="00000000">
        <w:rPr>
          <w:rFonts w:ascii="Times New Roman" w:cs="Times New Roman" w:eastAsia="Times New Roman" w:hAnsi="Times New Roman"/>
          <w:color w:val="0f1115"/>
          <w:sz w:val="28"/>
          <w:szCs w:val="28"/>
          <w:highlight w:val="white"/>
          <w:rtl w:val="0"/>
        </w:rPr>
        <w:t xml:space="preserve">снижая площадь под ROC-кривой детектора с 0,993 до 0,153</w:t>
      </w:r>
      <w:r w:rsidDel="00000000" w:rsidR="00000000" w:rsidRPr="00000000">
        <w:rPr>
          <w:rFonts w:ascii="Times New Roman" w:cs="Times New Roman" w:eastAsia="Times New Roman" w:hAnsi="Times New Roman"/>
          <w:color w:val="0f1115"/>
          <w:sz w:val="28"/>
          <w:szCs w:val="28"/>
          <w:rtl w:val="0"/>
        </w:rPr>
        <w:t xml:space="preserve"> [11].</w:t>
      </w:r>
    </w:p>
    <w:p w:rsidR="00000000" w:rsidDel="00000000" w:rsidP="00000000" w:rsidRDefault="00000000" w:rsidRPr="00000000" w14:paraId="0000000F">
      <w:pPr>
        <w:shd w:fill="ffffff" w:val="clear"/>
        <w:spacing w:after="160" w:line="360" w:lineRule="auto"/>
        <w:ind w:firstLine="700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1.3. Цифровые отпечатки и перцептуальные хэши</w:t>
      </w:r>
    </w:p>
    <w:p w:rsidR="00000000" w:rsidDel="00000000" w:rsidP="00000000" w:rsidRDefault="00000000" w:rsidRPr="00000000" w14:paraId="00000010">
      <w:pPr>
        <w:shd w:fill="ffffff" w:val="clear"/>
        <w:spacing w:after="160" w:line="360" w:lineRule="auto"/>
        <w:ind w:firstLine="70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Методы на основе цифровых отпечатков используют перцептуальные хэши для поиска контента по базам известных образцов. Они устойчивы к консервативным трансформациям, но не обеспечивают криптографической гарантии происхождения и требуют централизованного хранилища. Microsoft, протестировав 60 комбинаций трёх методов, заключила, что цифровые отпечатки непригодны для высоконадёжной публичной верификации из-за риска коллизий и высоких затрат на масштабирование [1]. </w:t>
      </w:r>
      <w:r w:rsidDel="00000000" w:rsidR="00000000" w:rsidRPr="00000000">
        <w:rPr>
          <w:rFonts w:ascii="Times New Roman" w:cs="Times New Roman" w:eastAsia="Times New Roman" w:hAnsi="Times New Roman"/>
          <w:color w:val="0f1115"/>
          <w:sz w:val="28"/>
          <w:szCs w:val="28"/>
          <w:highlight w:val="white"/>
          <w:rtl w:val="0"/>
        </w:rPr>
        <w:t xml:space="preserve">Современные разработки, такие как DinoHash, демонстрируют улучшение робастности к трансформациям за счёт использования самообучаемых эмбеддингов, однако фундаментальные ограничения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f1115"/>
          <w:sz w:val="28"/>
          <w:szCs w:val="28"/>
          <w:highlight w:val="white"/>
          <w:rtl w:val="0"/>
        </w:rPr>
        <w:t xml:space="preserve">(зависимость от базы данных, коллизии) сохраняются [12].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11">
      <w:pPr>
        <w:shd w:fill="ffffff" w:val="clear"/>
        <w:spacing w:after="160" w:line="360" w:lineRule="auto"/>
        <w:ind w:firstLine="700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1.4. Практические деплои и комплементарность методов</w:t>
      </w:r>
    </w:p>
    <w:p w:rsidR="00000000" w:rsidDel="00000000" w:rsidP="00000000" w:rsidRDefault="00000000" w:rsidRPr="00000000" w14:paraId="00000012">
      <w:pPr>
        <w:pStyle w:val="Title"/>
        <w:shd w:fill="ffffff" w:val="clear"/>
        <w:spacing w:after="160" w:line="360" w:lineRule="auto"/>
        <w:ind w:firstLine="700"/>
        <w:jc w:val="both"/>
        <w:rPr>
          <w:rFonts w:ascii="Times New Roman" w:cs="Times New Roman" w:eastAsia="Times New Roman" w:hAnsi="Times New Roman"/>
          <w:color w:val="ffff00"/>
          <w:sz w:val="28"/>
          <w:szCs w:val="28"/>
        </w:rPr>
      </w:pPr>
      <w:bookmarkStart w:colFirst="0" w:colLast="0" w:name="_u5856d63w1bd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Microsoft и OpenAI развивают двухуровневую стратегию: C2PA для защиты метаданных и SynthID для устойчивости к модификациям</w:t>
      </w:r>
      <w:r w:rsidDel="00000000" w:rsidR="00000000" w:rsidRPr="00000000">
        <w:rPr>
          <w:rFonts w:ascii="Times New Roman" w:cs="Times New Roman" w:eastAsia="Times New Roman" w:hAnsi="Times New Roman"/>
          <w:color w:val="0f1115"/>
          <w:sz w:val="28"/>
          <w:szCs w:val="28"/>
          <w:highlight w:val="white"/>
          <w:rtl w:val="0"/>
        </w:rPr>
        <w:t xml:space="preserve">[8][9]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0f1115"/>
          <w:sz w:val="28"/>
          <w:szCs w:val="28"/>
          <w:rtl w:val="0"/>
        </w:rPr>
        <w:t xml:space="preserve">Однако, как показано в работе Fairoze et al. (2025), простое комбинирование недостаточно: при раздельных проверках изображение может одновременно иметь валидный C2PA-манифест и рабочий водяной знак AI-генерации [10]. Авторы доказали теоретическую возможность создания схемы, объединяющей все три желаемых свойства, но выявили главный барьер – отсутствие коллизионно-стойких робастных эмбеддингов в условиях </w:t>
      </w:r>
      <w:r w:rsidDel="00000000" w:rsidR="00000000" w:rsidRPr="00000000">
        <w:rPr>
          <w:rFonts w:ascii="Times New Roman" w:cs="Times New Roman" w:eastAsia="Times New Roman" w:hAnsi="Times New Roman"/>
          <w:color w:val="0f1115"/>
          <w:sz w:val="28"/>
          <w:szCs w:val="28"/>
          <w:highlight w:val="white"/>
          <w:rtl w:val="0"/>
        </w:rPr>
        <w:t xml:space="preserve">в условиях полного доступа злоумышленника к модели</w:t>
      </w:r>
      <w:r w:rsidDel="00000000" w:rsidR="00000000" w:rsidRPr="00000000">
        <w:rPr>
          <w:rFonts w:ascii="Times New Roman" w:cs="Times New Roman" w:eastAsia="Times New Roman" w:hAnsi="Times New Roman"/>
          <w:color w:val="0f1115"/>
          <w:sz w:val="28"/>
          <w:szCs w:val="28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hd w:fill="ffffff" w:val="clear"/>
        <w:spacing w:after="240" w:before="240" w:line="360" w:lineRule="auto"/>
        <w:jc w:val="both"/>
        <w:rPr>
          <w:rFonts w:ascii="Times New Roman" w:cs="Times New Roman" w:eastAsia="Times New Roman" w:hAnsi="Times New Roman"/>
          <w:color w:val="0f1115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8"/>
          <w:szCs w:val="28"/>
          <w:rtl w:val="0"/>
        </w:rPr>
        <w:t xml:space="preserve">Nemecek et al. (2026) формализовали состояние Integrity Clash, при котором C2PA-манифест и водяной знак дают противоречивые показания, и предложили протокол совместной проверки, достигающий 100% </w:t>
      </w:r>
      <w:r w:rsidDel="00000000" w:rsidR="00000000" w:rsidRPr="00000000">
        <w:rPr>
          <w:rFonts w:ascii="Times New Roman" w:cs="Times New Roman" w:eastAsia="Times New Roman" w:hAnsi="Times New Roman"/>
          <w:color w:val="0f1115"/>
          <w:sz w:val="28"/>
          <w:szCs w:val="28"/>
          <w:highlight w:val="white"/>
          <w:rtl w:val="0"/>
        </w:rPr>
        <w:t xml:space="preserve">точности классификации</w:t>
      </w:r>
      <w:r w:rsidDel="00000000" w:rsidR="00000000" w:rsidRPr="00000000">
        <w:rPr>
          <w:rFonts w:ascii="Times New Roman" w:cs="Times New Roman" w:eastAsia="Times New Roman" w:hAnsi="Times New Roman"/>
          <w:color w:val="0f1115"/>
          <w:sz w:val="28"/>
          <w:szCs w:val="28"/>
          <w:rtl w:val="0"/>
        </w:rPr>
        <w:t xml:space="preserve"> на тестовой выборке [14]. Однако этот протокол опирается на единственный тип водяного знака и не оценивает поведение системы при деградации водяного знака ниже порога детекции, а также не сравнивает разные классы водяных знаков и не рассматривает комбинацию с цифровыми отпечатками.</w:t>
      </w:r>
    </w:p>
    <w:p w:rsidR="00000000" w:rsidDel="00000000" w:rsidP="00000000" w:rsidRDefault="00000000" w:rsidRPr="00000000" w14:paraId="00000014">
      <w:pPr>
        <w:shd w:fill="ffffff" w:val="clear"/>
        <w:spacing w:after="160" w:line="360" w:lineRule="auto"/>
        <w:ind w:firstLine="700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1.5. Исследовательский пробел (Research Gap)</w:t>
      </w:r>
    </w:p>
    <w:p w:rsidR="00000000" w:rsidDel="00000000" w:rsidP="00000000" w:rsidRDefault="00000000" w:rsidRPr="00000000" w14:paraId="00000015">
      <w:pPr>
        <w:shd w:fill="ffffff" w:val="clear"/>
        <w:spacing w:after="160" w:line="360" w:lineRule="auto"/>
        <w:ind w:firstLine="70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Существующие исследования [1–18] рассматривают C2PA, водяные знаки и цифровые отпечатки либо изолированно, либо в теоретических рамках комплементарности. Отсутствуют эмпирические сравнительные исследования, которые:</w:t>
      </w:r>
    </w:p>
    <w:p w:rsidR="00000000" w:rsidDel="00000000" w:rsidP="00000000" w:rsidRDefault="00000000" w:rsidRPr="00000000" w14:paraId="00000016">
      <w:pPr>
        <w:shd w:fill="ffffff" w:val="clear"/>
        <w:spacing w:after="160" w:line="360" w:lineRule="auto"/>
        <w:ind w:left="108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1.    количественно оценивают деградацию каждого метода под реалистичными атаками (сжатие JPEG, удаление метаданных, VAE-атаки);</w:t>
      </w:r>
    </w:p>
    <w:p w:rsidR="00000000" w:rsidDel="00000000" w:rsidP="00000000" w:rsidRDefault="00000000" w:rsidRPr="00000000" w14:paraId="00000017">
      <w:pPr>
        <w:shd w:fill="ffffff" w:val="clear"/>
        <w:spacing w:after="160" w:line="360" w:lineRule="auto"/>
        <w:ind w:left="108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2.    предлагают метрику для выбора оптимального метода в зависимости от сценария использования;</w:t>
      </w:r>
    </w:p>
    <w:p w:rsidR="00000000" w:rsidDel="00000000" w:rsidP="00000000" w:rsidRDefault="00000000" w:rsidRPr="00000000" w14:paraId="00000018">
      <w:pPr>
        <w:shd w:fill="ffffff" w:val="clear"/>
        <w:spacing w:after="160" w:line="360" w:lineRule="auto"/>
        <w:ind w:left="108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3.    учитывают угрозы, где реальный контент маркируется как AI-сгенерированный.</w:t>
      </w:r>
    </w:p>
    <w:p w:rsidR="00000000" w:rsidDel="00000000" w:rsidP="00000000" w:rsidRDefault="00000000" w:rsidRPr="00000000" w14:paraId="00000019">
      <w:pPr>
        <w:shd w:fill="ffffff" w:val="clear"/>
        <w:spacing w:after="160" w:line="360" w:lineRule="auto"/>
        <w:ind w:firstLine="70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Точка вклада данной работы: сравнительный анализ трёх классов методов на едином бенчмарке с симуляцией жизненного цикла контента и выработка критериев выбора метода в зависимости от угрозы, что не представлено в актуальной литературе.</w:t>
      </w:r>
    </w:p>
    <w:p w:rsidR="00000000" w:rsidDel="00000000" w:rsidP="00000000" w:rsidRDefault="00000000" w:rsidRPr="00000000" w14:paraId="0000001A">
      <w:pPr>
        <w:shd w:fill="ffffff" w:val="clear"/>
        <w:spacing w:after="160" w:line="360" w:lineRule="auto"/>
        <w:ind w:firstLine="700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2. Экспериментальная часть</w:t>
      </w:r>
    </w:p>
    <w:p w:rsidR="00000000" w:rsidDel="00000000" w:rsidP="00000000" w:rsidRDefault="00000000" w:rsidRPr="00000000" w14:paraId="0000001B">
      <w:pPr>
        <w:shd w:fill="ffffff" w:val="clear"/>
        <w:spacing w:after="160" w:line="360" w:lineRule="auto"/>
        <w:ind w:firstLine="700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2.1. Постановка задачи</w:t>
      </w:r>
    </w:p>
    <w:p w:rsidR="00000000" w:rsidDel="00000000" w:rsidP="00000000" w:rsidRDefault="00000000" w:rsidRPr="00000000" w14:paraId="0000001C">
      <w:pPr>
        <w:shd w:fill="ffffff" w:val="clear"/>
        <w:spacing w:after="160" w:line="360" w:lineRule="auto"/>
        <w:ind w:firstLine="70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Вход: RGB-изображение, сгенерированное диффузионной моделью.</w:t>
        <w:br w:type="textWrapping"/>
        <w:t xml:space="preserve"> Выход: бинарное решение о наличии/отсутствии верифицируемого сигнала происхождения с указанием метода, </w:t>
      </w:r>
      <w:r w:rsidDel="00000000" w:rsidR="00000000" w:rsidRPr="00000000">
        <w:rPr>
          <w:rFonts w:ascii="Times New Roman" w:cs="Times New Roman" w:eastAsia="Times New Roman" w:hAnsi="Times New Roman"/>
          <w:color w:val="0f1115"/>
          <w:sz w:val="28"/>
          <w:szCs w:val="28"/>
          <w:highlight w:val="white"/>
          <w:rtl w:val="0"/>
        </w:rPr>
        <w:t xml:space="preserve">а также (для комбинированного метода) флаг семантической согласованности между слоями.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1D">
      <w:pPr>
        <w:shd w:fill="ffffff" w:val="clear"/>
        <w:spacing w:after="160" w:line="360" w:lineRule="auto"/>
        <w:ind w:firstLine="70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Метрики:</w:t>
      </w:r>
    </w:p>
    <w:p w:rsidR="00000000" w:rsidDel="00000000" w:rsidP="00000000" w:rsidRDefault="00000000" w:rsidRPr="00000000" w14:paraId="0000001E">
      <w:pPr>
        <w:numPr>
          <w:ilvl w:val="0"/>
          <w:numId w:val="3"/>
        </w:numPr>
        <w:shd w:fill="ffffff" w:val="clear"/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True Positive Rate (TPR) при False Positive Rate (FPR) = 1 % - допускается не более 1 % ложных срабатываний;</w:t>
      </w:r>
    </w:p>
    <w:p w:rsidR="00000000" w:rsidDel="00000000" w:rsidP="00000000" w:rsidRDefault="00000000" w:rsidRPr="00000000" w14:paraId="0000001F">
      <w:pPr>
        <w:numPr>
          <w:ilvl w:val="0"/>
          <w:numId w:val="3"/>
        </w:numPr>
        <w:shd w:fill="ffffff" w:val="clear"/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Площадь под ROC-кривой (AUC-ROC).;</w:t>
      </w:r>
    </w:p>
    <w:p w:rsidR="00000000" w:rsidDel="00000000" w:rsidP="00000000" w:rsidRDefault="00000000" w:rsidRPr="00000000" w14:paraId="00000020">
      <w:pPr>
        <w:numPr>
          <w:ilvl w:val="0"/>
          <w:numId w:val="3"/>
        </w:numPr>
        <w:shd w:fill="ffffff" w:val="clear"/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Точность при низкой базовой частоте (0,1–1 %) — для оценки применимости в реальных условиях, когда доля AI-контента мала.</w:t>
      </w:r>
    </w:p>
    <w:p w:rsidR="00000000" w:rsidDel="00000000" w:rsidP="00000000" w:rsidRDefault="00000000" w:rsidRPr="00000000" w14:paraId="00000021">
      <w:pPr>
        <w:numPr>
          <w:ilvl w:val="0"/>
          <w:numId w:val="3"/>
        </w:numPr>
        <w:shd w:fill="ffffff" w:val="clear"/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Коэффициент робастности. Показатель сохранения эффективности детекции после применения набора стандартных трансформаций, моделирующих жизненный цикл изображения</w:t>
      </w:r>
    </w:p>
    <w:p w:rsidR="00000000" w:rsidDel="00000000" w:rsidP="00000000" w:rsidRDefault="00000000" w:rsidRPr="00000000" w14:paraId="00000022">
      <w:pPr>
        <w:shd w:fill="ffffff" w:val="clear"/>
        <w:spacing w:after="160" w:line="360" w:lineRule="auto"/>
        <w:ind w:firstLine="700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2.2. Датасет</w:t>
      </w:r>
    </w:p>
    <w:p w:rsidR="00000000" w:rsidDel="00000000" w:rsidP="00000000" w:rsidRDefault="00000000" w:rsidRPr="00000000" w14:paraId="00000023">
      <w:pPr>
        <w:shd w:fill="ffffff" w:val="clear"/>
        <w:spacing w:after="160" w:line="360" w:lineRule="auto"/>
        <w:ind w:firstLine="70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 эксперименте применяются готовые модели и рабочие методы, поэтому датасет используется для валидации и сравнения. Характеристики датасета приведены в таблице 1.</w:t>
      </w:r>
    </w:p>
    <w:p w:rsidR="00000000" w:rsidDel="00000000" w:rsidP="00000000" w:rsidRDefault="00000000" w:rsidRPr="00000000" w14:paraId="00000024">
      <w:pPr>
        <w:shd w:fill="ffffff" w:val="clear"/>
        <w:spacing w:after="160" w:line="360" w:lineRule="auto"/>
        <w:ind w:firstLine="700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Таблица 1 – Характеристики датасета</w:t>
      </w:r>
    </w:p>
    <w:tbl>
      <w:tblPr>
        <w:tblStyle w:val="Table1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205.591310732461"/>
        <w:gridCol w:w="6819.920500291163"/>
        <w:tblGridChange w:id="0">
          <w:tblGrid>
            <w:gridCol w:w="2205.591310732461"/>
            <w:gridCol w:w="6819.920500291163"/>
          </w:tblGrid>
        </w:tblGridChange>
      </w:tblGrid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shd w:fill="ffffff" w:val="clear"/>
              <w:spacing w:line="409.09090909090907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Параметр</w:t>
            </w:r>
          </w:p>
        </w:tc>
        <w:tc>
          <w:tcPr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shd w:fill="ffffff" w:val="clear"/>
              <w:spacing w:line="409.09090909090907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Значение</w:t>
            </w:r>
          </w:p>
        </w:tc>
      </w:tr>
      <w:tr>
        <w:trPr>
          <w:cantSplit w:val="0"/>
          <w:trHeight w:val="76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shd w:fill="ffffff" w:val="clear"/>
              <w:spacing w:line="409.09090909090907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Источник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shd w:fill="ffffff" w:val="clear"/>
              <w:spacing w:line="409.09090909090907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COCO 2017 + синтез через SDXL (5 промптов на категорию, 10 категорий)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shd w:fill="ffffff" w:val="clear"/>
              <w:spacing w:line="409.09090909090907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Размер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shd w:fill="ffffff" w:val="clear"/>
              <w:spacing w:line="409.09090909090907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5 000 изображений (2 500 real, 2 500 AI-generated)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shd w:fill="ffffff" w:val="clear"/>
              <w:spacing w:line="409.09090909090907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Разбиение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shd w:fill="ffffff" w:val="clear"/>
              <w:spacing w:line="409.09090909090907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train/val/test = 60/20/20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shd w:fill="ffffff" w:val="clear"/>
              <w:spacing w:line="409.09090909090907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Режим доступа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shd w:fill="ffffff" w:val="clear"/>
              <w:spacing w:line="409.09090909090907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Open-source</w:t>
            </w:r>
          </w:p>
        </w:tc>
      </w:tr>
    </w:tbl>
    <w:p w:rsidR="00000000" w:rsidDel="00000000" w:rsidP="00000000" w:rsidRDefault="00000000" w:rsidRPr="00000000" w14:paraId="0000002F">
      <w:pPr>
        <w:shd w:fill="ffffff" w:val="clear"/>
        <w:spacing w:after="160" w:line="360" w:lineRule="auto"/>
        <w:ind w:firstLine="700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f1115"/>
          <w:sz w:val="28"/>
          <w:szCs w:val="28"/>
          <w:highlight w:val="white"/>
          <w:rtl w:val="0"/>
        </w:rPr>
        <w:t xml:space="preserve">Выбор COCO 2017 обусловлен его статусом стандартного бенчмарка в компьютерном зрении; SDXL выбран как одна из наиболее популярных диффузионных моделей, используемая в бенчмарках WAVES [15] и SynTag [16]. Встроенный водяной знак SDXL явно отключается для обеспечения контролируемых условий эксперимента.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30">
      <w:pPr>
        <w:shd w:fill="ffffff" w:val="clear"/>
        <w:spacing w:after="160" w:line="360" w:lineRule="auto"/>
        <w:ind w:firstLine="700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2.3. Базовый уровень сравнения</w:t>
      </w:r>
    </w:p>
    <w:p w:rsidR="00000000" w:rsidDel="00000000" w:rsidP="00000000" w:rsidRDefault="00000000" w:rsidRPr="00000000" w14:paraId="00000031">
      <w:pPr>
        <w:shd w:fill="ffffff" w:val="clear"/>
        <w:spacing w:after="160" w:line="360" w:lineRule="auto"/>
        <w:ind w:firstLine="70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 качестве сравнения используются четыре репрезентативных подхода:</w:t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shd w:fill="ffffff" w:val="clear"/>
        <w:spacing w:after="0" w:afterAutospacing="0" w:before="240"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8"/>
          <w:szCs w:val="28"/>
          <w:rtl w:val="0"/>
        </w:rPr>
        <w:t xml:space="preserve">C2PA-only. Валидатор C2PA с жёсткой привязкой на основе официальной спецификации C2PA 2.1 [3] и библиотеки c2pa-python. Представляет промышленный стандарт криптографической аутентификации. Обеспечивает высокую точность при сохранённых метаданных, но полностью теряет работоспособность при их удалении.</w:t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shd w:fill="ffffff" w:val="clear"/>
        <w:spacing w:after="0" w:afterAutospacing="0" w:before="0" w:beforeAutospacing="0"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8"/>
          <w:szCs w:val="28"/>
          <w:rtl w:val="0"/>
        </w:rPr>
        <w:t xml:space="preserve">Watermark-only. Две открытые реализации водяных знаков, охватывающие разные парадигмы встраивания:</w:t>
      </w:r>
    </w:p>
    <w:p w:rsidR="00000000" w:rsidDel="00000000" w:rsidP="00000000" w:rsidRDefault="00000000" w:rsidRPr="00000000" w14:paraId="00000034">
      <w:pPr>
        <w:numPr>
          <w:ilvl w:val="1"/>
          <w:numId w:val="1"/>
        </w:numPr>
        <w:shd w:fill="ffffff" w:val="clear"/>
        <w:spacing w:after="0" w:afterAutospacing="0" w:before="0" w:beforeAutospacing="0" w:line="360" w:lineRule="auto"/>
        <w:ind w:left="144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8"/>
          <w:szCs w:val="28"/>
          <w:rtl w:val="0"/>
        </w:rPr>
        <w:t xml:space="preserve">Tree-Ring Watermark — оригинальная реализация Wen et al. [6], адаптированная под SDXL.</w:t>
      </w:r>
    </w:p>
    <w:p w:rsidR="00000000" w:rsidDel="00000000" w:rsidP="00000000" w:rsidRDefault="00000000" w:rsidRPr="00000000" w14:paraId="00000035">
      <w:pPr>
        <w:numPr>
          <w:ilvl w:val="1"/>
          <w:numId w:val="1"/>
        </w:numPr>
        <w:shd w:fill="ffffff" w:val="clear"/>
        <w:spacing w:after="0" w:afterAutospacing="0" w:before="0" w:beforeAutospacing="0" w:line="360" w:lineRule="auto"/>
        <w:ind w:left="144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8"/>
          <w:szCs w:val="28"/>
          <w:rtl w:val="0"/>
        </w:rPr>
        <w:t xml:space="preserve">SynthID — официальная открытая эталонная реализация Google DeepMind [17], используемая как прокси для post-hoc вероятностного водяного знака.</w:t>
      </w:r>
    </w:p>
    <w:p w:rsidR="00000000" w:rsidDel="00000000" w:rsidP="00000000" w:rsidRDefault="00000000" w:rsidRPr="00000000" w14:paraId="00000036">
      <w:pPr>
        <w:numPr>
          <w:ilvl w:val="0"/>
          <w:numId w:val="1"/>
        </w:numPr>
        <w:shd w:fill="ffffff" w:val="clear"/>
        <w:spacing w:after="0" w:afterAutospacing="0" w:before="0" w:beforeAutospacing="0"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8"/>
          <w:szCs w:val="28"/>
          <w:rtl w:val="0"/>
        </w:rPr>
        <w:t xml:space="preserve">Fingerprinting-only. Перцептуальный хэш на основе DINOv2 [12] — репрезентативный метод цифровых отпечатков, устойчивый к трансформациям, но требующий централизованной базы данных и не обеспечивающий криптографической неподдельности.</w:t>
      </w:r>
    </w:p>
    <w:p w:rsidR="00000000" w:rsidDel="00000000" w:rsidP="00000000" w:rsidRDefault="00000000" w:rsidRPr="00000000" w14:paraId="00000037">
      <w:pPr>
        <w:numPr>
          <w:ilvl w:val="0"/>
          <w:numId w:val="1"/>
        </w:numPr>
        <w:shd w:fill="ffffff" w:val="clear"/>
        <w:spacing w:after="240" w:before="0" w:beforeAutospacing="0"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8"/>
          <w:szCs w:val="28"/>
          <w:rtl w:val="0"/>
        </w:rPr>
        <w:t xml:space="preserve">Комбинированный метод. C2PA (soft binding) + Tree-Ring + cross-layer audit protocol [14] — проверяет семантическую согласованность слоёв и выявляет состояние Integrity Clash.</w:t>
      </w:r>
    </w:p>
    <w:p w:rsidR="00000000" w:rsidDel="00000000" w:rsidP="00000000" w:rsidRDefault="00000000" w:rsidRPr="00000000" w14:paraId="00000038">
      <w:pPr>
        <w:shd w:fill="ffffff" w:val="clear"/>
        <w:spacing w:after="160" w:line="360" w:lineRule="auto"/>
        <w:ind w:firstLine="70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Ожидаемое преимущество комбинированного метода должен превзойти каждый из перечисленных базовых методов по метрике доле верно обнаруженных AI-изображений при фиксированной доле ложных срабатываний в 1 %, особенно в условиях атак, направленных на отдельные слои верификации. При этом ожидается, что комбинированный метод сохранит точность на уровне выше 0,9 в условиях низкой базовой частоты AI-контента, что подтверждает его пригодность для реального развёртывания, где доля синтетических изображений в общем потоке мала, а цена ложного срабатывания высока.</w:t>
      </w:r>
    </w:p>
    <w:p w:rsidR="00000000" w:rsidDel="00000000" w:rsidP="00000000" w:rsidRDefault="00000000" w:rsidRPr="00000000" w14:paraId="00000039">
      <w:pPr>
        <w:shd w:fill="ffffff" w:val="clear"/>
        <w:spacing w:after="160" w:line="360" w:lineRule="auto"/>
        <w:ind w:firstLine="700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2.4. Конфигурации эксперимента</w:t>
      </w:r>
    </w:p>
    <w:p w:rsidR="00000000" w:rsidDel="00000000" w:rsidP="00000000" w:rsidRDefault="00000000" w:rsidRPr="00000000" w14:paraId="0000003A">
      <w:pPr>
        <w:shd w:fill="ffffff" w:val="clear"/>
        <w:spacing w:after="160" w:line="360" w:lineRule="auto"/>
        <w:ind w:firstLine="70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Конфигурация А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8"/>
          <w:szCs w:val="28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C2PA только с привязкой манифеста к конкретным байтам файла. Ожидание: провал при потере метаданных.</w:t>
      </w:r>
    </w:p>
    <w:p w:rsidR="00000000" w:rsidDel="00000000" w:rsidP="00000000" w:rsidRDefault="00000000" w:rsidRPr="00000000" w14:paraId="0000003B">
      <w:pPr>
        <w:shd w:fill="ffffff" w:val="clear"/>
        <w:spacing w:after="160" w:line="360" w:lineRule="auto"/>
        <w:ind w:firstLine="70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Конфигурация B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8"/>
          <w:szCs w:val="28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0f1115"/>
          <w:sz w:val="28"/>
          <w:szCs w:val="28"/>
          <w:highlight w:val="white"/>
          <w:rtl w:val="0"/>
        </w:rPr>
        <w:t xml:space="preserve">C2PA с привязкой манифеста к перцептуальному хэшу в связке с водяным знаком SynthID. Если C2PA-манифест будет уничтожен, перцептуальный хэш восстанавливается из самого изображения. Ожидание: устойчивость к удалению метаданных, но уязвимость к состязательным атакам на вариационный автоэнкодер. Вариационный автоэнкодер — это тип нейронной сети, сжимающей изображение в латентное представление и восстанавливающей его. Злоумышленник, зная архитектуру вариационного автоэнкодера, может пропустить замаркированное изображение через кодировщик, получить его латентное представление, а затем восстановить изображение через декодер. В процессе такой регенерации водяной знак SynthID, внедрённый в пиксельное пространство, разрушается или значительно ослабляется, тогда как визуальное качество изображения страдает минимально. Таким образом, несмотря на устойчивость к удалению метаданных, конфигурация B остаётся уязвимой к атакам, использующим публичную инфраструктуру вариационного автоэнкодера.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8"/>
          <w:szCs w:val="2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hd w:fill="ffffff" w:val="clear"/>
        <w:spacing w:after="160" w:line="360" w:lineRule="auto"/>
        <w:ind w:firstLine="70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Конфигурация C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8"/>
          <w:szCs w:val="28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f1115"/>
          <w:sz w:val="28"/>
          <w:szCs w:val="28"/>
          <w:highlight w:val="white"/>
          <w:rtl w:val="0"/>
        </w:rPr>
        <w:t xml:space="preserve">объединяет C2PA, метод Tree-Ring и протокол совместной проверки. Обычно C2PA и водяной знак проверяются независимо, каждый выдаёт свой результат. Предлагаемый протокол перекрёстно верифицирует их и ищет противоречия. Ожидание: обнаружение несоответствия меток, устойчивость к атакам на вариационный автоэнкодер.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3D">
      <w:pPr>
        <w:shd w:fill="ffffff" w:val="clear"/>
        <w:spacing w:after="160" w:line="360" w:lineRule="auto"/>
        <w:ind w:firstLine="700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2.5. Критерии успеха</w:t>
      </w:r>
    </w:p>
    <w:p w:rsidR="00000000" w:rsidDel="00000000" w:rsidP="00000000" w:rsidRDefault="00000000" w:rsidRPr="00000000" w14:paraId="0000003E">
      <w:pPr>
        <w:shd w:fill="ffffff" w:val="clear"/>
        <w:spacing w:after="160" w:line="360" w:lineRule="auto"/>
        <w:ind w:firstLine="70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Успех эксперимента оценивается по четырём критериям, отражающим различные аспекты эффективности комбинированного метода верификации происхождения:</w:t>
      </w:r>
    </w:p>
    <w:p w:rsidR="00000000" w:rsidDel="00000000" w:rsidP="00000000" w:rsidRDefault="00000000" w:rsidRPr="00000000" w14:paraId="0000003F">
      <w:pPr>
        <w:shd w:fill="ffffff" w:val="clear"/>
        <w:spacing w:after="160" w:line="360" w:lineRule="auto"/>
        <w:ind w:left="108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1.    Доля верно обнаруженных AI-изображений при фиксированной доле ложных срабатываний в 1% больше 95%.</w:t>
      </w:r>
    </w:p>
    <w:p w:rsidR="00000000" w:rsidDel="00000000" w:rsidP="00000000" w:rsidRDefault="00000000" w:rsidRPr="00000000" w14:paraId="00000040">
      <w:pPr>
        <w:shd w:fill="ffffff" w:val="clear"/>
        <w:spacing w:after="160" w:line="360" w:lineRule="auto"/>
        <w:ind w:left="108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2.    Доля верно обнаруженных AI-изображений при 1% ложных срабатываний после применения реалистичных трансформаций больше 85%.</w:t>
      </w:r>
    </w:p>
    <w:p w:rsidR="00000000" w:rsidDel="00000000" w:rsidP="00000000" w:rsidRDefault="00000000" w:rsidRPr="00000000" w14:paraId="00000041">
      <w:pPr>
        <w:shd w:fill="ffffff" w:val="clear"/>
        <w:spacing w:after="160" w:line="360" w:lineRule="auto"/>
        <w:ind w:left="108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3.    Точность при априорной доле AI-контента в 1 % больше 90%.</w:t>
      </w:r>
    </w:p>
    <w:p w:rsidR="00000000" w:rsidDel="00000000" w:rsidP="00000000" w:rsidRDefault="00000000" w:rsidRPr="00000000" w14:paraId="00000042">
      <w:pPr>
        <w:shd w:fill="ffffff" w:val="clear"/>
        <w:spacing w:after="160" w:line="360" w:lineRule="auto"/>
        <w:ind w:left="1080" w:hanging="36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4.    Точность обнаружения кросс-слойного противоречия больше 99%.</w:t>
      </w:r>
    </w:p>
    <w:p w:rsidR="00000000" w:rsidDel="00000000" w:rsidP="00000000" w:rsidRDefault="00000000" w:rsidRPr="00000000" w14:paraId="00000043">
      <w:pPr>
        <w:shd w:fill="ffffff" w:val="clear"/>
        <w:spacing w:after="160" w:line="360" w:lineRule="auto"/>
        <w:ind w:firstLine="70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Главный критерий успеха: идентификация условий, при которых один метод надежнее другого, и формулировка алгоритма для выбора стратегии верификации в производственных сценариях.</w:t>
      </w:r>
    </w:p>
    <w:p w:rsidR="00000000" w:rsidDel="00000000" w:rsidP="00000000" w:rsidRDefault="00000000" w:rsidRPr="00000000" w14:paraId="00000044">
      <w:pPr>
        <w:shd w:fill="ffffff" w:val="clear"/>
        <w:spacing w:after="160" w:line="360" w:lineRule="auto"/>
        <w:ind w:firstLine="700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Заключение</w:t>
      </w:r>
    </w:p>
    <w:p w:rsidR="00000000" w:rsidDel="00000000" w:rsidP="00000000" w:rsidRDefault="00000000" w:rsidRPr="00000000" w14:paraId="00000045">
      <w:pPr>
        <w:shd w:fill="ffffff" w:val="clear"/>
        <w:spacing w:after="160" w:line="360" w:lineRule="auto"/>
        <w:ind w:firstLine="70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 работе представлен систематический обзор современных методов верификации происхождения генеративного контента и предложена программа экспериментального сравнения трёх классов методов на едином бенчмарке. Ожидается, что результаты позволят количественно оценить деградацию каждого метода при реалистичных атаках и выработать практические рекомендации по выбору стратегии верификации в зависимости от сценария использования.</w:t>
      </w:r>
    </w:p>
    <w:p w:rsidR="00000000" w:rsidDel="00000000" w:rsidP="00000000" w:rsidRDefault="00000000" w:rsidRPr="00000000" w14:paraId="00000046">
      <w:pPr>
        <w:shd w:fill="ffffff" w:val="clear"/>
        <w:spacing w:after="160" w:line="360" w:lineRule="auto"/>
        <w:ind w:firstLine="700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Список литературы</w:t>
      </w:r>
    </w:p>
    <w:p w:rsidR="00000000" w:rsidDel="00000000" w:rsidP="00000000" w:rsidRDefault="00000000" w:rsidRPr="00000000" w14:paraId="00000047">
      <w:pPr>
        <w:numPr>
          <w:ilvl w:val="0"/>
          <w:numId w:val="2"/>
        </w:numPr>
        <w:shd w:fill="ffffff" w:val="clear"/>
        <w:spacing w:after="0" w:afterAutospacing="0" w:before="240" w:line="360" w:lineRule="auto"/>
        <w:ind w:left="720" w:hanging="360"/>
        <w:rPr>
          <w:rFonts w:ascii="Times New Roman" w:cs="Times New Roman" w:eastAsia="Times New Roman" w:hAnsi="Times New Roman"/>
          <w:color w:val="0f1115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8"/>
          <w:szCs w:val="28"/>
          <w:rtl w:val="0"/>
        </w:rPr>
        <w:t xml:space="preserve">Microsoft Corporation. Media Integrity and Authentication: Status, Directions, and Futures [Электронный ресурс] / Microsoft Corporation. – 2026. – Режим доступа: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3964fe"/>
            <w:sz w:val="28"/>
            <w:szCs w:val="28"/>
            <w:rtl w:val="0"/>
          </w:rPr>
          <w:t xml:space="preserve">https://arxiv.org/abs/2602.18681</w:t>
        </w:r>
      </w:hyperlink>
      <w:r w:rsidDel="00000000" w:rsidR="00000000" w:rsidRPr="00000000">
        <w:rPr>
          <w:rFonts w:ascii="Times New Roman" w:cs="Times New Roman" w:eastAsia="Times New Roman" w:hAnsi="Times New Roman"/>
          <w:color w:val="0f1115"/>
          <w:sz w:val="28"/>
          <w:szCs w:val="28"/>
          <w:rtl w:val="0"/>
        </w:rPr>
        <w:t xml:space="preserve"> (дата обращения: 27.05.2026).</w:t>
      </w:r>
    </w:p>
    <w:p w:rsidR="00000000" w:rsidDel="00000000" w:rsidP="00000000" w:rsidRDefault="00000000" w:rsidRPr="00000000" w14:paraId="00000048">
      <w:pPr>
        <w:numPr>
          <w:ilvl w:val="0"/>
          <w:numId w:val="2"/>
        </w:numPr>
        <w:shd w:fill="ffffff" w:val="clear"/>
        <w:spacing w:after="0" w:afterAutospacing="0" w:before="0" w:beforeAutospacing="0" w:line="360" w:lineRule="auto"/>
        <w:ind w:left="720" w:hanging="360"/>
        <w:rPr>
          <w:rFonts w:ascii="Times New Roman" w:cs="Times New Roman" w:eastAsia="Times New Roman" w:hAnsi="Times New Roman"/>
          <w:color w:val="0f1115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8"/>
          <w:szCs w:val="28"/>
          <w:rtl w:val="0"/>
        </w:rPr>
        <w:t xml:space="preserve">Coalition for Content Provenance and Authenticity. C2PA Technical Specification [Электронный ресурс] / Coalition for Content Provenance and Authenticity. – 2023. – Режим доступа: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3964fe"/>
            <w:sz w:val="28"/>
            <w:szCs w:val="28"/>
            <w:rtl w:val="0"/>
          </w:rPr>
          <w:t xml:space="preserve">https://c2pa.org/specifications/</w:t>
        </w:r>
      </w:hyperlink>
      <w:r w:rsidDel="00000000" w:rsidR="00000000" w:rsidRPr="00000000">
        <w:rPr>
          <w:rFonts w:ascii="Times New Roman" w:cs="Times New Roman" w:eastAsia="Times New Roman" w:hAnsi="Times New Roman"/>
          <w:color w:val="0f1115"/>
          <w:sz w:val="28"/>
          <w:szCs w:val="28"/>
          <w:rtl w:val="0"/>
        </w:rPr>
        <w:t xml:space="preserve"> (дата обращения: 27.05.2026).</w:t>
      </w:r>
    </w:p>
    <w:p w:rsidR="00000000" w:rsidDel="00000000" w:rsidP="00000000" w:rsidRDefault="00000000" w:rsidRPr="00000000" w14:paraId="00000049">
      <w:pPr>
        <w:numPr>
          <w:ilvl w:val="0"/>
          <w:numId w:val="2"/>
        </w:numPr>
        <w:shd w:fill="ffffff" w:val="clear"/>
        <w:spacing w:after="0" w:afterAutospacing="0" w:before="0" w:beforeAutospacing="0" w:line="360" w:lineRule="auto"/>
        <w:ind w:left="720" w:hanging="360"/>
        <w:rPr>
          <w:rFonts w:ascii="Times New Roman" w:cs="Times New Roman" w:eastAsia="Times New Roman" w:hAnsi="Times New Roman"/>
          <w:color w:val="0f1115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8"/>
          <w:szCs w:val="28"/>
          <w:rtl w:val="0"/>
        </w:rPr>
        <w:t xml:space="preserve">Coalition for Content Provenance and Authenticity. C2PA Security Considerations [Электронный ресурс] / Coalition for Content Provenance and Authenticity. – 2024. – Режим доступа: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3964fe"/>
            <w:sz w:val="28"/>
            <w:szCs w:val="28"/>
            <w:rtl w:val="0"/>
          </w:rPr>
          <w:t xml:space="preserve">https://spec.c2pa.org/specifications/specifications/2.0/security/Security_Considerations.html</w:t>
        </w:r>
      </w:hyperlink>
      <w:r w:rsidDel="00000000" w:rsidR="00000000" w:rsidRPr="00000000">
        <w:rPr>
          <w:rFonts w:ascii="Times New Roman" w:cs="Times New Roman" w:eastAsia="Times New Roman" w:hAnsi="Times New Roman"/>
          <w:color w:val="0f1115"/>
          <w:sz w:val="28"/>
          <w:szCs w:val="28"/>
          <w:rtl w:val="0"/>
        </w:rPr>
        <w:t xml:space="preserve"> (дата обращения: 27.05.2026).</w:t>
      </w:r>
    </w:p>
    <w:p w:rsidR="00000000" w:rsidDel="00000000" w:rsidP="00000000" w:rsidRDefault="00000000" w:rsidRPr="00000000" w14:paraId="0000004A">
      <w:pPr>
        <w:numPr>
          <w:ilvl w:val="0"/>
          <w:numId w:val="2"/>
        </w:numPr>
        <w:shd w:fill="ffffff" w:val="clear"/>
        <w:spacing w:after="0" w:afterAutospacing="0" w:before="0" w:beforeAutospacing="0" w:line="360" w:lineRule="auto"/>
        <w:ind w:left="720" w:hanging="360"/>
        <w:rPr>
          <w:rFonts w:ascii="Times New Roman" w:cs="Times New Roman" w:eastAsia="Times New Roman" w:hAnsi="Times New Roman"/>
          <w:color w:val="0f1115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8"/>
          <w:szCs w:val="28"/>
          <w:rtl w:val="0"/>
        </w:rPr>
        <w:t xml:space="preserve">Coalition for Content Provenance and Authenticity. C2PA Soft Binding API [Электронный ресурс] / Coalition for Content Provenance and Authenticity. – 2024. – Режим доступа: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3964fe"/>
            <w:sz w:val="28"/>
            <w:szCs w:val="28"/>
            <w:rtl w:val="0"/>
          </w:rPr>
          <w:t xml:space="preserve">https://spec.c2pa.org/specifications/specifications/2.2/softbinding/Decoupled.html</w:t>
        </w:r>
      </w:hyperlink>
      <w:r w:rsidDel="00000000" w:rsidR="00000000" w:rsidRPr="00000000">
        <w:rPr>
          <w:rFonts w:ascii="Times New Roman" w:cs="Times New Roman" w:eastAsia="Times New Roman" w:hAnsi="Times New Roman"/>
          <w:color w:val="0f1115"/>
          <w:sz w:val="28"/>
          <w:szCs w:val="28"/>
          <w:rtl w:val="0"/>
        </w:rPr>
        <w:t xml:space="preserve"> (дата обращения: 27.05.2026).</w:t>
      </w:r>
    </w:p>
    <w:p w:rsidR="00000000" w:rsidDel="00000000" w:rsidP="00000000" w:rsidRDefault="00000000" w:rsidRPr="00000000" w14:paraId="0000004B">
      <w:pPr>
        <w:numPr>
          <w:ilvl w:val="0"/>
          <w:numId w:val="2"/>
        </w:numPr>
        <w:shd w:fill="ffffff" w:val="clear"/>
        <w:spacing w:after="0" w:afterAutospacing="0" w:before="0" w:beforeAutospacing="0" w:line="360" w:lineRule="auto"/>
        <w:ind w:left="720" w:hanging="360"/>
        <w:rPr>
          <w:rFonts w:ascii="Times New Roman" w:cs="Times New Roman" w:eastAsia="Times New Roman" w:hAnsi="Times New Roman"/>
          <w:color w:val="0f1115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8"/>
          <w:szCs w:val="28"/>
          <w:rtl w:val="0"/>
        </w:rPr>
        <w:t xml:space="preserve">ISO/IEC 21617-1:2025. Information technology – JPEG Trust – Part 1: Core foundation. – Geneva : ISO, 2025. – 45 p.</w:t>
      </w:r>
    </w:p>
    <w:p w:rsidR="00000000" w:rsidDel="00000000" w:rsidP="00000000" w:rsidRDefault="00000000" w:rsidRPr="00000000" w14:paraId="0000004C">
      <w:pPr>
        <w:numPr>
          <w:ilvl w:val="0"/>
          <w:numId w:val="2"/>
        </w:numPr>
        <w:shd w:fill="ffffff" w:val="clear"/>
        <w:spacing w:after="0" w:afterAutospacing="0" w:before="0" w:beforeAutospacing="0" w:line="360" w:lineRule="auto"/>
        <w:ind w:left="720" w:hanging="360"/>
        <w:rPr>
          <w:rFonts w:ascii="Times New Roman" w:cs="Times New Roman" w:eastAsia="Times New Roman" w:hAnsi="Times New Roman"/>
          <w:color w:val="0f1115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8"/>
          <w:szCs w:val="28"/>
          <w:rtl w:val="0"/>
        </w:rPr>
        <w:t xml:space="preserve">Wen Y. Tree-Ring Watermarks: Fingerprints for Diffusion Images that are Invisible and Robust [Электронный ресурс] / Y. Wen, J. Kirchenbauer, J. Geiping, T. Goldstein. – 2023. – Режим доступа: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3964fe"/>
            <w:sz w:val="28"/>
            <w:szCs w:val="28"/>
            <w:rtl w:val="0"/>
          </w:rPr>
          <w:t xml:space="preserve">https://arxiv.org/abs/2305.20030</w:t>
        </w:r>
      </w:hyperlink>
      <w:r w:rsidDel="00000000" w:rsidR="00000000" w:rsidRPr="00000000">
        <w:rPr>
          <w:rFonts w:ascii="Times New Roman" w:cs="Times New Roman" w:eastAsia="Times New Roman" w:hAnsi="Times New Roman"/>
          <w:color w:val="0f1115"/>
          <w:sz w:val="28"/>
          <w:szCs w:val="28"/>
          <w:rtl w:val="0"/>
        </w:rPr>
        <w:t xml:space="preserve"> (дата обращения: 27.05.2026).</w:t>
      </w:r>
    </w:p>
    <w:p w:rsidR="00000000" w:rsidDel="00000000" w:rsidP="00000000" w:rsidRDefault="00000000" w:rsidRPr="00000000" w14:paraId="0000004D">
      <w:pPr>
        <w:numPr>
          <w:ilvl w:val="0"/>
          <w:numId w:val="2"/>
        </w:numPr>
        <w:shd w:fill="ffffff" w:val="clear"/>
        <w:spacing w:after="0" w:afterAutospacing="0" w:before="0" w:beforeAutospacing="0" w:line="360" w:lineRule="auto"/>
        <w:ind w:left="720" w:hanging="360"/>
        <w:rPr>
          <w:rFonts w:ascii="Times New Roman" w:cs="Times New Roman" w:eastAsia="Times New Roman" w:hAnsi="Times New Roman"/>
          <w:color w:val="0f1115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8"/>
          <w:szCs w:val="28"/>
          <w:rtl w:val="0"/>
        </w:rPr>
        <w:t xml:space="preserve">Fernandez P. The Stable Signature: Rooting Watermarks in Latent Diffusion Models [Электронный ресурс] / P. Fernandez, G. Couairon, H. Jégou, M. Douze, T. Furon. – 2023. – Режим доступа: 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3964fe"/>
            <w:sz w:val="28"/>
            <w:szCs w:val="28"/>
            <w:rtl w:val="0"/>
          </w:rPr>
          <w:t xml:space="preserve">https://arxiv.org/abs/2303.15435</w:t>
        </w:r>
      </w:hyperlink>
      <w:r w:rsidDel="00000000" w:rsidR="00000000" w:rsidRPr="00000000">
        <w:rPr>
          <w:rFonts w:ascii="Times New Roman" w:cs="Times New Roman" w:eastAsia="Times New Roman" w:hAnsi="Times New Roman"/>
          <w:color w:val="0f1115"/>
          <w:sz w:val="28"/>
          <w:szCs w:val="28"/>
          <w:rtl w:val="0"/>
        </w:rPr>
        <w:t xml:space="preserve"> (дата обращения: 27.05.2026).</w:t>
      </w:r>
    </w:p>
    <w:p w:rsidR="00000000" w:rsidDel="00000000" w:rsidP="00000000" w:rsidRDefault="00000000" w:rsidRPr="00000000" w14:paraId="0000004E">
      <w:pPr>
        <w:numPr>
          <w:ilvl w:val="0"/>
          <w:numId w:val="2"/>
        </w:numPr>
        <w:shd w:fill="ffffff" w:val="clear"/>
        <w:spacing w:after="0" w:afterAutospacing="0" w:before="0" w:beforeAutospacing="0" w:line="360" w:lineRule="auto"/>
        <w:ind w:left="720" w:hanging="360"/>
        <w:rPr>
          <w:rFonts w:ascii="Times New Roman" w:cs="Times New Roman" w:eastAsia="Times New Roman" w:hAnsi="Times New Roman"/>
          <w:color w:val="0f1115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8"/>
          <w:szCs w:val="28"/>
          <w:rtl w:val="0"/>
        </w:rPr>
        <w:t xml:space="preserve">Google DeepMind. SynthID [Электронный ресурс] / Google DeepMind. – 2026. – Режим доступа: </w:t>
      </w: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3964fe"/>
            <w:sz w:val="28"/>
            <w:szCs w:val="28"/>
            <w:rtl w:val="0"/>
          </w:rPr>
          <w:t xml:space="preserve">https://deepmind.google/models/synthid/</w:t>
        </w:r>
      </w:hyperlink>
      <w:r w:rsidDel="00000000" w:rsidR="00000000" w:rsidRPr="00000000">
        <w:rPr>
          <w:rFonts w:ascii="Times New Roman" w:cs="Times New Roman" w:eastAsia="Times New Roman" w:hAnsi="Times New Roman"/>
          <w:color w:val="0f1115"/>
          <w:sz w:val="28"/>
          <w:szCs w:val="28"/>
          <w:rtl w:val="0"/>
        </w:rPr>
        <w:t xml:space="preserve"> (дата обращения: 27.05.2026).</w:t>
      </w:r>
    </w:p>
    <w:p w:rsidR="00000000" w:rsidDel="00000000" w:rsidP="00000000" w:rsidRDefault="00000000" w:rsidRPr="00000000" w14:paraId="0000004F">
      <w:pPr>
        <w:numPr>
          <w:ilvl w:val="0"/>
          <w:numId w:val="2"/>
        </w:numPr>
        <w:shd w:fill="ffffff" w:val="clear"/>
        <w:spacing w:after="0" w:afterAutospacing="0" w:before="0" w:beforeAutospacing="0" w:line="360" w:lineRule="auto"/>
        <w:ind w:left="720" w:hanging="360"/>
        <w:rPr>
          <w:rFonts w:ascii="Times New Roman" w:cs="Times New Roman" w:eastAsia="Times New Roman" w:hAnsi="Times New Roman"/>
          <w:color w:val="0f1115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8"/>
          <w:szCs w:val="28"/>
          <w:rtl w:val="0"/>
        </w:rPr>
        <w:t xml:space="preserve">Gowal S. SynthID-Image: Image watermarking at internet scale [Электронный ресурс] / S. Gowal, R. Bunel, F. Stimberg, D. Stutz, G. Ortiz-Jimenez, C. Kouridi, M. Vecerik, J. Hayes, S.-A. Rebuffi, P. Bernard. – 2025. – Режим доступа: </w:t>
      </w: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3964fe"/>
            <w:sz w:val="28"/>
            <w:szCs w:val="28"/>
            <w:rtl w:val="0"/>
          </w:rPr>
          <w:t xml:space="preserve">https://arxiv.org/abs/2510.09263</w:t>
        </w:r>
      </w:hyperlink>
      <w:r w:rsidDel="00000000" w:rsidR="00000000" w:rsidRPr="00000000">
        <w:rPr>
          <w:rFonts w:ascii="Times New Roman" w:cs="Times New Roman" w:eastAsia="Times New Roman" w:hAnsi="Times New Roman"/>
          <w:color w:val="0f1115"/>
          <w:sz w:val="28"/>
          <w:szCs w:val="28"/>
          <w:rtl w:val="0"/>
        </w:rPr>
        <w:t xml:space="preserve"> (дата обращения: 27.05.2026).</w:t>
      </w:r>
    </w:p>
    <w:p w:rsidR="00000000" w:rsidDel="00000000" w:rsidP="00000000" w:rsidRDefault="00000000" w:rsidRPr="00000000" w14:paraId="00000050">
      <w:pPr>
        <w:numPr>
          <w:ilvl w:val="0"/>
          <w:numId w:val="2"/>
        </w:numPr>
        <w:shd w:fill="ffffff" w:val="clear"/>
        <w:spacing w:after="0" w:afterAutospacing="0" w:before="0" w:beforeAutospacing="0" w:line="360" w:lineRule="auto"/>
        <w:ind w:left="720" w:hanging="360"/>
        <w:rPr>
          <w:rFonts w:ascii="Times New Roman" w:cs="Times New Roman" w:eastAsia="Times New Roman" w:hAnsi="Times New Roman"/>
          <w:color w:val="0f1115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8"/>
          <w:szCs w:val="28"/>
          <w:rtl w:val="0"/>
        </w:rPr>
        <w:t xml:space="preserve">Kassis A. UnMarker: a universal attack on defensive image watermarking / A. Kassis, U. Hengartner // 2025 IEEE Symposium on Security and Privacy (SP). – San Francisco : IEEE, 2025. – P. 2602–2620.</w:t>
      </w:r>
    </w:p>
    <w:p w:rsidR="00000000" w:rsidDel="00000000" w:rsidP="00000000" w:rsidRDefault="00000000" w:rsidRPr="00000000" w14:paraId="00000051">
      <w:pPr>
        <w:numPr>
          <w:ilvl w:val="0"/>
          <w:numId w:val="2"/>
        </w:numPr>
        <w:shd w:fill="ffffff" w:val="clear"/>
        <w:spacing w:after="0" w:afterAutospacing="0" w:before="0" w:beforeAutospacing="0" w:line="360" w:lineRule="auto"/>
        <w:ind w:left="720" w:hanging="360"/>
        <w:rPr>
          <w:rFonts w:ascii="Times New Roman" w:cs="Times New Roman" w:eastAsia="Times New Roman" w:hAnsi="Times New Roman"/>
          <w:color w:val="0f1115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8"/>
          <w:szCs w:val="28"/>
          <w:rtl w:val="0"/>
        </w:rPr>
        <w:t xml:space="preserve">Lin J. A Crack in the Bark: Leveraging Public Knowledge to Remove Tree-Ring Watermarks [Электронный ресурс] / J. Lin, M. Juarez. – 2025. – Режим доступа: </w:t>
      </w:r>
      <w:hyperlink r:id="rId14">
        <w:r w:rsidDel="00000000" w:rsidR="00000000" w:rsidRPr="00000000">
          <w:rPr>
            <w:rFonts w:ascii="Times New Roman" w:cs="Times New Roman" w:eastAsia="Times New Roman" w:hAnsi="Times New Roman"/>
            <w:color w:val="3964fe"/>
            <w:sz w:val="28"/>
            <w:szCs w:val="28"/>
            <w:rtl w:val="0"/>
          </w:rPr>
          <w:t xml:space="preserve">https://arxiv.org/abs/2506.10502</w:t>
        </w:r>
      </w:hyperlink>
      <w:r w:rsidDel="00000000" w:rsidR="00000000" w:rsidRPr="00000000">
        <w:rPr>
          <w:rFonts w:ascii="Times New Roman" w:cs="Times New Roman" w:eastAsia="Times New Roman" w:hAnsi="Times New Roman"/>
          <w:color w:val="0f1115"/>
          <w:sz w:val="28"/>
          <w:szCs w:val="28"/>
          <w:rtl w:val="0"/>
        </w:rPr>
        <w:t xml:space="preserve"> (дата обращения: 27.05.2026).</w:t>
      </w:r>
    </w:p>
    <w:p w:rsidR="00000000" w:rsidDel="00000000" w:rsidP="00000000" w:rsidRDefault="00000000" w:rsidRPr="00000000" w14:paraId="00000052">
      <w:pPr>
        <w:numPr>
          <w:ilvl w:val="0"/>
          <w:numId w:val="2"/>
        </w:numPr>
        <w:shd w:fill="ffffff" w:val="clear"/>
        <w:spacing w:after="0" w:afterAutospacing="0" w:before="0" w:beforeAutospacing="0" w:line="360" w:lineRule="auto"/>
        <w:ind w:left="720" w:hanging="360"/>
        <w:rPr>
          <w:rFonts w:ascii="Times New Roman" w:cs="Times New Roman" w:eastAsia="Times New Roman" w:hAnsi="Times New Roman"/>
          <w:color w:val="0f1115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8"/>
          <w:szCs w:val="28"/>
          <w:rtl w:val="0"/>
        </w:rPr>
        <w:t xml:space="preserve">Singhi A. Provenance Detection for AI-Generated Images: Combining Perceptual Hashing, Homomorphic Encryption, and AI Detection Models [Электронный ресурс] / A. Singhi, et al. – 2025. – Режим доступа: </w:t>
      </w:r>
      <w:hyperlink r:id="rId15">
        <w:r w:rsidDel="00000000" w:rsidR="00000000" w:rsidRPr="00000000">
          <w:rPr>
            <w:rFonts w:ascii="Times New Roman" w:cs="Times New Roman" w:eastAsia="Times New Roman" w:hAnsi="Times New Roman"/>
            <w:color w:val="3964fe"/>
            <w:sz w:val="28"/>
            <w:szCs w:val="28"/>
            <w:rtl w:val="0"/>
          </w:rPr>
          <w:t xml:space="preserve">https://arxiv.org/abs/2503.11195</w:t>
        </w:r>
      </w:hyperlink>
      <w:r w:rsidDel="00000000" w:rsidR="00000000" w:rsidRPr="00000000">
        <w:rPr>
          <w:rFonts w:ascii="Times New Roman" w:cs="Times New Roman" w:eastAsia="Times New Roman" w:hAnsi="Times New Roman"/>
          <w:color w:val="0f1115"/>
          <w:sz w:val="28"/>
          <w:szCs w:val="28"/>
          <w:rtl w:val="0"/>
        </w:rPr>
        <w:t xml:space="preserve"> (дата обращения: 27.05.2026).</w:t>
      </w:r>
    </w:p>
    <w:p w:rsidR="00000000" w:rsidDel="00000000" w:rsidP="00000000" w:rsidRDefault="00000000" w:rsidRPr="00000000" w14:paraId="00000053">
      <w:pPr>
        <w:numPr>
          <w:ilvl w:val="0"/>
          <w:numId w:val="2"/>
        </w:numPr>
        <w:shd w:fill="ffffff" w:val="clear"/>
        <w:spacing w:after="0" w:afterAutospacing="0" w:before="0" w:beforeAutospacing="0" w:line="360" w:lineRule="auto"/>
        <w:ind w:left="720" w:hanging="360"/>
        <w:rPr>
          <w:rFonts w:ascii="Times New Roman" w:cs="Times New Roman" w:eastAsia="Times New Roman" w:hAnsi="Times New Roman"/>
          <w:color w:val="0f1115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8"/>
          <w:szCs w:val="28"/>
          <w:rtl w:val="0"/>
        </w:rPr>
        <w:t xml:space="preserve">Fairoze J. On the Difficulty of Constructing a Robust and Publicly-Detectable Watermark [Электронный ресурс] / J. Fairoze, G. Ortiz-Jimenez, M. Vecerik, S. Jha, S. Gowal. – 2025. – Режим доступа: </w:t>
      </w:r>
      <w:hyperlink r:id="rId16">
        <w:r w:rsidDel="00000000" w:rsidR="00000000" w:rsidRPr="00000000">
          <w:rPr>
            <w:rFonts w:ascii="Times New Roman" w:cs="Times New Roman" w:eastAsia="Times New Roman" w:hAnsi="Times New Roman"/>
            <w:color w:val="3964fe"/>
            <w:sz w:val="28"/>
            <w:szCs w:val="28"/>
            <w:rtl w:val="0"/>
          </w:rPr>
          <w:t xml:space="preserve">https://arxiv.org/abs/2502.04901</w:t>
        </w:r>
      </w:hyperlink>
      <w:r w:rsidDel="00000000" w:rsidR="00000000" w:rsidRPr="00000000">
        <w:rPr>
          <w:rFonts w:ascii="Times New Roman" w:cs="Times New Roman" w:eastAsia="Times New Roman" w:hAnsi="Times New Roman"/>
          <w:color w:val="0f1115"/>
          <w:sz w:val="28"/>
          <w:szCs w:val="28"/>
          <w:rtl w:val="0"/>
        </w:rPr>
        <w:t xml:space="preserve"> (дата обращения: 27.05.2026).</w:t>
      </w:r>
    </w:p>
    <w:p w:rsidR="00000000" w:rsidDel="00000000" w:rsidP="00000000" w:rsidRDefault="00000000" w:rsidRPr="00000000" w14:paraId="00000054">
      <w:pPr>
        <w:numPr>
          <w:ilvl w:val="0"/>
          <w:numId w:val="2"/>
        </w:numPr>
        <w:shd w:fill="ffffff" w:val="clear"/>
        <w:spacing w:after="0" w:afterAutospacing="0" w:before="0" w:beforeAutospacing="0" w:line="360" w:lineRule="auto"/>
        <w:ind w:left="720" w:hanging="360"/>
        <w:rPr>
          <w:rFonts w:ascii="Times New Roman" w:cs="Times New Roman" w:eastAsia="Times New Roman" w:hAnsi="Times New Roman"/>
          <w:color w:val="0f1115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8"/>
          <w:szCs w:val="28"/>
          <w:rtl w:val="0"/>
        </w:rPr>
        <w:t xml:space="preserve">Nemecek A. Authenticated Contradictions from Desynchronized Provenance and Watermarking [Электронный ресурс] / A. Nemecek, H. He, G. Cheng, E. Ayday. – 2026. – Режим доступа: </w:t>
      </w:r>
      <w:hyperlink r:id="rId17">
        <w:r w:rsidDel="00000000" w:rsidR="00000000" w:rsidRPr="00000000">
          <w:rPr>
            <w:rFonts w:ascii="Times New Roman" w:cs="Times New Roman" w:eastAsia="Times New Roman" w:hAnsi="Times New Roman"/>
            <w:color w:val="3964fe"/>
            <w:sz w:val="28"/>
            <w:szCs w:val="28"/>
            <w:rtl w:val="0"/>
          </w:rPr>
          <w:t xml:space="preserve">https://arxiv.org/abs/2603.02378</w:t>
        </w:r>
      </w:hyperlink>
      <w:r w:rsidDel="00000000" w:rsidR="00000000" w:rsidRPr="00000000">
        <w:rPr>
          <w:rFonts w:ascii="Times New Roman" w:cs="Times New Roman" w:eastAsia="Times New Roman" w:hAnsi="Times New Roman"/>
          <w:color w:val="0f1115"/>
          <w:sz w:val="28"/>
          <w:szCs w:val="28"/>
          <w:rtl w:val="0"/>
        </w:rPr>
        <w:t xml:space="preserve"> (дата обращения: 27.05.2026).</w:t>
      </w:r>
    </w:p>
    <w:p w:rsidR="00000000" w:rsidDel="00000000" w:rsidP="00000000" w:rsidRDefault="00000000" w:rsidRPr="00000000" w14:paraId="00000055">
      <w:pPr>
        <w:numPr>
          <w:ilvl w:val="0"/>
          <w:numId w:val="2"/>
        </w:numPr>
        <w:shd w:fill="ffffff" w:val="clear"/>
        <w:spacing w:after="0" w:afterAutospacing="0" w:before="0" w:beforeAutospacing="0" w:line="360" w:lineRule="auto"/>
        <w:ind w:left="720" w:hanging="360"/>
        <w:rPr>
          <w:rFonts w:ascii="Times New Roman" w:cs="Times New Roman" w:eastAsia="Times New Roman" w:hAnsi="Times New Roman"/>
          <w:color w:val="0f1115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8"/>
          <w:szCs w:val="28"/>
          <w:rtl w:val="0"/>
        </w:rPr>
        <w:t xml:space="preserve">An B. WAVES: Benchmarking the robustness of image watermarks [Электронный ресурс] / B. An, M. Ding, T. Rabbani, A. Agrawal, Y. Xu, C. Deng, S. Zhu, A. Mohamed, Y. Wen, T. Goldstein. – 2024. – Режим доступа: </w:t>
      </w:r>
      <w:hyperlink r:id="rId18">
        <w:r w:rsidDel="00000000" w:rsidR="00000000" w:rsidRPr="00000000">
          <w:rPr>
            <w:rFonts w:ascii="Times New Roman" w:cs="Times New Roman" w:eastAsia="Times New Roman" w:hAnsi="Times New Roman"/>
            <w:color w:val="3964fe"/>
            <w:sz w:val="28"/>
            <w:szCs w:val="28"/>
            <w:rtl w:val="0"/>
          </w:rPr>
          <w:t xml:space="preserve">https://arxiv.org/abs/2401.08573</w:t>
        </w:r>
      </w:hyperlink>
      <w:r w:rsidDel="00000000" w:rsidR="00000000" w:rsidRPr="00000000">
        <w:rPr>
          <w:rFonts w:ascii="Times New Roman" w:cs="Times New Roman" w:eastAsia="Times New Roman" w:hAnsi="Times New Roman"/>
          <w:color w:val="0f1115"/>
          <w:sz w:val="28"/>
          <w:szCs w:val="28"/>
          <w:rtl w:val="0"/>
        </w:rPr>
        <w:t xml:space="preserve"> (дата обращения: 27.05.2026).</w:t>
      </w:r>
    </w:p>
    <w:p w:rsidR="00000000" w:rsidDel="00000000" w:rsidP="00000000" w:rsidRDefault="00000000" w:rsidRPr="00000000" w14:paraId="00000056">
      <w:pPr>
        <w:numPr>
          <w:ilvl w:val="0"/>
          <w:numId w:val="2"/>
        </w:numPr>
        <w:shd w:fill="ffffff" w:val="clear"/>
        <w:spacing w:after="0" w:afterAutospacing="0" w:before="0" w:beforeAutospacing="0" w:line="360" w:lineRule="auto"/>
        <w:ind w:left="720" w:hanging="360"/>
        <w:rPr>
          <w:rFonts w:ascii="Times New Roman" w:cs="Times New Roman" w:eastAsia="Times New Roman" w:hAnsi="Times New Roman"/>
          <w:color w:val="0f1115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8"/>
          <w:szCs w:val="28"/>
          <w:rtl w:val="0"/>
        </w:rPr>
        <w:t xml:space="preserve">Fang. SynTag: Enhancing the Geometric Robustness of Inversion-based Generative Image Watermarking / Fang [и др.] // ICCV 2025 : Proceedings of the International Conference on Computer Vision. – 2025.</w:t>
      </w:r>
    </w:p>
    <w:p w:rsidR="00000000" w:rsidDel="00000000" w:rsidP="00000000" w:rsidRDefault="00000000" w:rsidRPr="00000000" w14:paraId="00000057">
      <w:pPr>
        <w:numPr>
          <w:ilvl w:val="0"/>
          <w:numId w:val="2"/>
        </w:numPr>
        <w:shd w:fill="ffffff" w:val="clear"/>
        <w:spacing w:after="0" w:afterAutospacing="0" w:before="0" w:beforeAutospacing="0" w:line="360" w:lineRule="auto"/>
        <w:ind w:left="720" w:hanging="360"/>
        <w:rPr>
          <w:rFonts w:ascii="Times New Roman" w:cs="Times New Roman" w:eastAsia="Times New Roman" w:hAnsi="Times New Roman"/>
          <w:color w:val="0f1115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8"/>
          <w:szCs w:val="28"/>
          <w:rtl w:val="0"/>
        </w:rPr>
        <w:t xml:space="preserve">Google DeepMind. SynthID Text: Reference implementation [Электронный ресурс] / Google DeepMind. – 2025. – Режим доступа: </w:t>
      </w:r>
      <w:hyperlink r:id="rId19">
        <w:r w:rsidDel="00000000" w:rsidR="00000000" w:rsidRPr="00000000">
          <w:rPr>
            <w:rFonts w:ascii="Times New Roman" w:cs="Times New Roman" w:eastAsia="Times New Roman" w:hAnsi="Times New Roman"/>
            <w:color w:val="3964fe"/>
            <w:sz w:val="28"/>
            <w:szCs w:val="28"/>
            <w:rtl w:val="0"/>
          </w:rPr>
          <w:t xml:space="preserve">https://github.com/google-deepmind/synthid-text</w:t>
        </w:r>
      </w:hyperlink>
      <w:r w:rsidDel="00000000" w:rsidR="00000000" w:rsidRPr="00000000">
        <w:rPr>
          <w:rFonts w:ascii="Times New Roman" w:cs="Times New Roman" w:eastAsia="Times New Roman" w:hAnsi="Times New Roman"/>
          <w:color w:val="0f1115"/>
          <w:sz w:val="28"/>
          <w:szCs w:val="28"/>
          <w:rtl w:val="0"/>
        </w:rPr>
        <w:t xml:space="preserve"> (дата обращения: 27.05.2026).</w:t>
      </w:r>
    </w:p>
    <w:p w:rsidR="00000000" w:rsidDel="00000000" w:rsidP="00000000" w:rsidRDefault="00000000" w:rsidRPr="00000000" w14:paraId="00000058">
      <w:pPr>
        <w:numPr>
          <w:ilvl w:val="0"/>
          <w:numId w:val="2"/>
        </w:numPr>
        <w:shd w:fill="ffffff" w:val="clear"/>
        <w:spacing w:after="240" w:before="0" w:beforeAutospacing="0" w:line="360" w:lineRule="auto"/>
        <w:ind w:left="720" w:hanging="360"/>
        <w:rPr>
          <w:rFonts w:ascii="Times New Roman" w:cs="Times New Roman" w:eastAsia="Times New Roman" w:hAnsi="Times New Roman"/>
          <w:color w:val="0f1115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8"/>
          <w:szCs w:val="28"/>
          <w:rtl w:val="0"/>
        </w:rPr>
        <w:t xml:space="preserve">reverse-SynthID. Reverse-Engineering SynthID: Discovering, detecting, and surgically removing Google's AI watermark through spectral analysis [Электронный ресурс] / reverse-SynthID. – 2025. – Режим доступа: </w:t>
      </w:r>
      <w:hyperlink r:id="rId20">
        <w:r w:rsidDel="00000000" w:rsidR="00000000" w:rsidRPr="00000000">
          <w:rPr>
            <w:rFonts w:ascii="Times New Roman" w:cs="Times New Roman" w:eastAsia="Times New Roman" w:hAnsi="Times New Roman"/>
            <w:color w:val="3964fe"/>
            <w:sz w:val="28"/>
            <w:szCs w:val="28"/>
            <w:rtl w:val="0"/>
          </w:rPr>
          <w:t xml:space="preserve">https://github.com/aloshdenny/reverse-SynthID</w:t>
        </w:r>
      </w:hyperlink>
      <w:r w:rsidDel="00000000" w:rsidR="00000000" w:rsidRPr="00000000">
        <w:rPr>
          <w:rFonts w:ascii="Times New Roman" w:cs="Times New Roman" w:eastAsia="Times New Roman" w:hAnsi="Times New Roman"/>
          <w:color w:val="0f1115"/>
          <w:sz w:val="28"/>
          <w:szCs w:val="28"/>
          <w:rtl w:val="0"/>
        </w:rPr>
        <w:t xml:space="preserve"> (дата обращения: 27.05.2026).</w:t>
      </w:r>
    </w:p>
    <w:p w:rsidR="00000000" w:rsidDel="00000000" w:rsidP="00000000" w:rsidRDefault="00000000" w:rsidRPr="00000000" w14:paraId="00000059">
      <w:pPr>
        <w:shd w:fill="ffffff" w:val="clear"/>
        <w:spacing w:after="240" w:before="340" w:line="360" w:lineRule="auto"/>
        <w:ind w:left="720" w:firstLine="0"/>
        <w:rPr>
          <w:rFonts w:ascii="Times New Roman" w:cs="Times New Roman" w:eastAsia="Times New Roman" w:hAnsi="Times New Roman"/>
          <w:color w:val="0f1115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hd w:fill="ffffff" w:val="clear"/>
        <w:spacing w:after="160" w:line="360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sectPr>
      <w:footerReference r:id="rId21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B">
    <w:pPr>
      <w:rPr/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b w:val="0"/>
        <w:bCs w:val="0"/>
        <w:i w:val="0"/>
        <w:iCs w:val="0"/>
        <w:smallCaps w:val="0"/>
        <w:color w:val="0f1115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Roboto" w:cs="Roboto" w:eastAsia="Roboto" w:hAnsi="Roboto"/>
        <w:b w:val="0"/>
        <w:bCs w:val="0"/>
        <w:i w:val="0"/>
        <w:iCs w:val="0"/>
        <w:smallCaps w:val="0"/>
        <w:color w:val="0f1115"/>
        <w:sz w:val="24"/>
        <w:szCs w:val="24"/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github.com/aloshdenny/reverse-SynthID" TargetMode="External"/><Relationship Id="rId11" Type="http://schemas.openxmlformats.org/officeDocument/2006/relationships/hyperlink" Target="https://arxiv.org/abs/2303.15435" TargetMode="External"/><Relationship Id="rId10" Type="http://schemas.openxmlformats.org/officeDocument/2006/relationships/hyperlink" Target="https://arxiv.org/abs/2305.20030" TargetMode="External"/><Relationship Id="rId21" Type="http://schemas.openxmlformats.org/officeDocument/2006/relationships/footer" Target="footer1.xml"/><Relationship Id="rId13" Type="http://schemas.openxmlformats.org/officeDocument/2006/relationships/hyperlink" Target="https://arxiv.org/abs/2510.09263" TargetMode="External"/><Relationship Id="rId12" Type="http://schemas.openxmlformats.org/officeDocument/2006/relationships/hyperlink" Target="https://deepmind.google/models/synthid/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spec.c2pa.org/specifications/specifications/2.2/softbinding/Decoupled.html" TargetMode="External"/><Relationship Id="rId15" Type="http://schemas.openxmlformats.org/officeDocument/2006/relationships/hyperlink" Target="https://arxiv.org/abs/2503.11195" TargetMode="External"/><Relationship Id="rId14" Type="http://schemas.openxmlformats.org/officeDocument/2006/relationships/hyperlink" Target="https://arxiv.org/abs/2506.10502" TargetMode="External"/><Relationship Id="rId17" Type="http://schemas.openxmlformats.org/officeDocument/2006/relationships/hyperlink" Target="https://arxiv.org/abs/2603.02378" TargetMode="External"/><Relationship Id="rId16" Type="http://schemas.openxmlformats.org/officeDocument/2006/relationships/hyperlink" Target="https://arxiv.org/abs/2502.04901" TargetMode="External"/><Relationship Id="rId5" Type="http://schemas.openxmlformats.org/officeDocument/2006/relationships/styles" Target="styles.xml"/><Relationship Id="rId19" Type="http://schemas.openxmlformats.org/officeDocument/2006/relationships/hyperlink" Target="https://github.com/google-deepmind/synthid-text" TargetMode="External"/><Relationship Id="rId6" Type="http://schemas.openxmlformats.org/officeDocument/2006/relationships/hyperlink" Target="https://arxiv.org/abs/2602.18681" TargetMode="External"/><Relationship Id="rId18" Type="http://schemas.openxmlformats.org/officeDocument/2006/relationships/hyperlink" Target="https://arxiv.org/abs/2401.08573" TargetMode="External"/><Relationship Id="rId7" Type="http://schemas.openxmlformats.org/officeDocument/2006/relationships/hyperlink" Target="https://c2pa.org/specifications/" TargetMode="External"/><Relationship Id="rId8" Type="http://schemas.openxmlformats.org/officeDocument/2006/relationships/hyperlink" Target="https://spec.c2pa.org/specifications/specifications/2.0/security/Security_Considerations.html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