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374" w:rsidRDefault="004E3D8F">
      <w:pPr>
        <w:spacing w:line="240" w:lineRule="auto"/>
        <w:rPr>
          <w:rFonts w:ascii="Helvetica Neue" w:eastAsia="Helvetica Neue" w:hAnsi="Helvetica Neue" w:cs="Helvetica Neue"/>
          <w:sz w:val="24"/>
          <w:szCs w:val="24"/>
        </w:rPr>
      </w:pPr>
      <w:bookmarkStart w:id="0" w:name="_GoBack"/>
      <w:bookmarkEnd w:id="0"/>
      <w:r>
        <w:rPr>
          <w:rFonts w:ascii="Helvetica Neue" w:eastAsia="Helvetica Neue" w:hAnsi="Helvetica Neue" w:cs="Helvetica Neue"/>
          <w:sz w:val="24"/>
          <w:szCs w:val="24"/>
        </w:rPr>
        <w:t>Le Cabanon</w:t>
      </w:r>
      <w:r>
        <w:rPr>
          <w:rFonts w:ascii="Helvetica Neue" w:eastAsia="Helvetica Neue" w:hAnsi="Helvetica Neue" w:cs="Helvetica Neue"/>
          <w:sz w:val="24"/>
          <w:szCs w:val="24"/>
        </w:rPr>
        <w:br/>
        <w:t>Section d’Histoire de l’art, niveau 4</w:t>
      </w:r>
      <w:r>
        <w:rPr>
          <w:rFonts w:ascii="Helvetica Neue" w:eastAsia="Helvetica Neue" w:hAnsi="Helvetica Neue" w:cs="Helvetica Neue"/>
          <w:sz w:val="24"/>
          <w:szCs w:val="24"/>
        </w:rPr>
        <w:br/>
        <w:t>Bureau 4133</w:t>
      </w:r>
      <w:r>
        <w:rPr>
          <w:rFonts w:ascii="Helvetica Neue" w:eastAsia="Helvetica Neue" w:hAnsi="Helvetica Neue" w:cs="Helvetica Neue"/>
          <w:sz w:val="24"/>
          <w:szCs w:val="24"/>
        </w:rPr>
        <w:br/>
        <w:t>Bâtiment Anthropole – UNIL</w:t>
      </w:r>
      <w:r>
        <w:rPr>
          <w:rFonts w:ascii="Helvetica Neue" w:eastAsia="Helvetica Neue" w:hAnsi="Helvetica Neue" w:cs="Helvetica Neue"/>
          <w:sz w:val="24"/>
          <w:szCs w:val="24"/>
        </w:rPr>
        <w:br/>
        <w:t>1015 Lausanne</w:t>
      </w:r>
      <w:r>
        <w:rPr>
          <w:noProof/>
        </w:rPr>
        <w:drawing>
          <wp:anchor distT="0" distB="0" distL="0" distR="0" simplePos="0" relativeHeight="251658240" behindDoc="0" locked="0" layoutInCell="1" hidden="0" allowOverlap="1">
            <wp:simplePos x="0" y="0"/>
            <wp:positionH relativeFrom="column">
              <wp:posOffset>-457200</wp:posOffset>
            </wp:positionH>
            <wp:positionV relativeFrom="paragraph">
              <wp:posOffset>-685799</wp:posOffset>
            </wp:positionV>
            <wp:extent cx="1616789" cy="2286240"/>
            <wp:effectExtent l="0" t="0" r="0" b="0"/>
            <wp:wrapSquare wrapText="bothSides" distT="0" distB="0" distL="0" distR="0"/>
            <wp:docPr id="1" name="image1.png" descr="Macintosh HD:Users:jlang:Desktop:newlogo.jpg"/>
            <wp:cNvGraphicFramePr/>
            <a:graphic xmlns:a="http://schemas.openxmlformats.org/drawingml/2006/main">
              <a:graphicData uri="http://schemas.openxmlformats.org/drawingml/2006/picture">
                <pic:pic xmlns:pic="http://schemas.openxmlformats.org/drawingml/2006/picture">
                  <pic:nvPicPr>
                    <pic:cNvPr id="0" name="image1.png" descr="Macintosh HD:Users:jlang:Desktop:newlogo.jpg"/>
                    <pic:cNvPicPr preferRelativeResize="0"/>
                  </pic:nvPicPr>
                  <pic:blipFill>
                    <a:blip r:embed="rId6"/>
                    <a:srcRect/>
                    <a:stretch>
                      <a:fillRect/>
                    </a:stretch>
                  </pic:blipFill>
                  <pic:spPr>
                    <a:xfrm>
                      <a:off x="0" y="0"/>
                      <a:ext cx="1616789" cy="2286240"/>
                    </a:xfrm>
                    <a:prstGeom prst="rect">
                      <a:avLst/>
                    </a:prstGeom>
                    <a:ln/>
                  </pic:spPr>
                </pic:pic>
              </a:graphicData>
            </a:graphic>
          </wp:anchor>
        </w:drawing>
      </w:r>
    </w:p>
    <w:p w:rsidR="005F4374" w:rsidRDefault="004E3D8F">
      <w:pPr>
        <w:spacing w:line="240" w:lineRule="auto"/>
        <w:rPr>
          <w:rFonts w:ascii="Helvetica Neue" w:eastAsia="Helvetica Neue" w:hAnsi="Helvetica Neue" w:cs="Helvetica Neue"/>
          <w:sz w:val="24"/>
          <w:szCs w:val="24"/>
        </w:rPr>
      </w:pPr>
      <w:hyperlink r:id="rId7">
        <w:r>
          <w:rPr>
            <w:rFonts w:ascii="Helvetica Neue" w:eastAsia="Helvetica Neue" w:hAnsi="Helvetica Neue" w:cs="Helvetica Neue"/>
            <w:color w:val="1155CC"/>
            <w:sz w:val="24"/>
            <w:szCs w:val="24"/>
            <w:u w:val="single"/>
          </w:rPr>
          <w:t>www.lecabanon-unil.ch</w:t>
        </w:r>
      </w:hyperlink>
      <w:r>
        <w:rPr>
          <w:rFonts w:ascii="Helvetica Neue" w:eastAsia="Helvetica Neue" w:hAnsi="Helvetica Neue" w:cs="Helvetica Neue"/>
          <w:sz w:val="24"/>
          <w:szCs w:val="24"/>
        </w:rPr>
        <w:t xml:space="preserve"> </w:t>
      </w:r>
    </w:p>
    <w:p w:rsidR="005F4374" w:rsidRDefault="005F4374">
      <w:pPr>
        <w:rPr>
          <w:rFonts w:ascii="Helvetica Neue" w:eastAsia="Helvetica Neue" w:hAnsi="Helvetica Neue" w:cs="Helvetica Neue"/>
          <w:sz w:val="26"/>
          <w:szCs w:val="26"/>
          <w:u w:val="single"/>
        </w:rPr>
      </w:pPr>
    </w:p>
    <w:p w:rsidR="005F4374" w:rsidRDefault="005F4374">
      <w:pPr>
        <w:rPr>
          <w:rFonts w:ascii="Helvetica Neue" w:eastAsia="Helvetica Neue" w:hAnsi="Helvetica Neue" w:cs="Helvetica Neue"/>
          <w:sz w:val="26"/>
          <w:szCs w:val="26"/>
          <w:u w:val="single"/>
        </w:rPr>
      </w:pPr>
    </w:p>
    <w:p w:rsidR="005F4374" w:rsidRDefault="005F4374">
      <w:pPr>
        <w:rPr>
          <w:rFonts w:ascii="Helvetica Neue" w:eastAsia="Helvetica Neue" w:hAnsi="Helvetica Neue" w:cs="Helvetica Neue"/>
          <w:sz w:val="26"/>
          <w:szCs w:val="26"/>
          <w:u w:val="single"/>
        </w:rPr>
      </w:pPr>
    </w:p>
    <w:p w:rsidR="005F4374" w:rsidRDefault="004E3D8F">
      <w:pPr>
        <w:rPr>
          <w:rFonts w:ascii="Helvetica Neue" w:eastAsia="Helvetica Neue" w:hAnsi="Helvetica Neue" w:cs="Helvetica Neue"/>
          <w:sz w:val="26"/>
          <w:szCs w:val="26"/>
          <w:u w:val="single"/>
        </w:rPr>
      </w:pPr>
      <w:r>
        <w:rPr>
          <w:rFonts w:ascii="Helvetica Neue" w:eastAsia="Helvetica Neue" w:hAnsi="Helvetica Neue" w:cs="Helvetica Neue"/>
          <w:sz w:val="26"/>
          <w:szCs w:val="26"/>
          <w:u w:val="single"/>
        </w:rPr>
        <w:t xml:space="preserve">Conditions de participation à la vente aux enchères silencieuse </w:t>
      </w:r>
    </w:p>
    <w:p w:rsidR="005F4374" w:rsidRDefault="005F4374">
      <w:pPr>
        <w:rPr>
          <w:rFonts w:ascii="Helvetica Neue" w:eastAsia="Helvetica Neue" w:hAnsi="Helvetica Neue" w:cs="Helvetica Neue"/>
          <w:sz w:val="26"/>
          <w:szCs w:val="26"/>
        </w:rPr>
      </w:pPr>
    </w:p>
    <w:p w:rsidR="005F4374" w:rsidRDefault="004E3D8F">
      <w:pPr>
        <w:rPr>
          <w:rFonts w:ascii="Helvetica Neue" w:eastAsia="Helvetica Neue" w:hAnsi="Helvetica Neue" w:cs="Helvetica Neue"/>
          <w:b/>
          <w:sz w:val="26"/>
          <w:szCs w:val="26"/>
        </w:rPr>
      </w:pPr>
      <w:r>
        <w:rPr>
          <w:rFonts w:ascii="Helvetica Neue" w:eastAsia="Helvetica Neue" w:hAnsi="Helvetica Neue" w:cs="Helvetica Neue"/>
          <w:b/>
          <w:sz w:val="26"/>
          <w:szCs w:val="26"/>
        </w:rPr>
        <w:t xml:space="preserve">Article 1 - Authenticité de l’œuvre mise en vente </w:t>
      </w:r>
    </w:p>
    <w:p w:rsidR="005F4374" w:rsidRDefault="005F4374">
      <w:pPr>
        <w:rPr>
          <w:rFonts w:ascii="Helvetica Neue" w:eastAsia="Helvetica Neue" w:hAnsi="Helvetica Neue" w:cs="Helvetica Neue"/>
          <w:b/>
          <w:sz w:val="26"/>
          <w:szCs w:val="26"/>
        </w:rPr>
      </w:pP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1</w:t>
      </w:r>
      <w:r>
        <w:rPr>
          <w:rFonts w:ascii="Helvetica Neue" w:eastAsia="Helvetica Neue" w:hAnsi="Helvetica Neue" w:cs="Helvetica Neue"/>
          <w:sz w:val="26"/>
          <w:szCs w:val="26"/>
        </w:rPr>
        <w:t xml:space="preserve">Tous les artistes présents dans la vente aux enchères certifient, sous contrat avec le Cabanon, être les auteurs de leurs oeuvres. </w:t>
      </w:r>
    </w:p>
    <w:p w:rsidR="005F4374" w:rsidRDefault="005F4374">
      <w:pPr>
        <w:rPr>
          <w:rFonts w:ascii="Helvetica Neue" w:eastAsia="Helvetica Neue" w:hAnsi="Helvetica Neue" w:cs="Helvetica Neue"/>
          <w:sz w:val="26"/>
          <w:szCs w:val="26"/>
        </w:rPr>
      </w:pPr>
    </w:p>
    <w:p w:rsidR="005F4374" w:rsidRDefault="004E3D8F">
      <w:pPr>
        <w:rPr>
          <w:rFonts w:ascii="Helvetica Neue" w:eastAsia="Helvetica Neue" w:hAnsi="Helvetica Neue" w:cs="Helvetica Neue"/>
          <w:b/>
          <w:sz w:val="26"/>
          <w:szCs w:val="26"/>
        </w:rPr>
      </w:pPr>
      <w:r>
        <w:rPr>
          <w:rFonts w:ascii="Helvetica Neue" w:eastAsia="Helvetica Neue" w:hAnsi="Helvetica Neue" w:cs="Helvetica Neue"/>
          <w:b/>
          <w:sz w:val="26"/>
          <w:szCs w:val="26"/>
        </w:rPr>
        <w:t>Arti</w:t>
      </w:r>
      <w:r>
        <w:rPr>
          <w:rFonts w:ascii="Helvetica Neue" w:eastAsia="Helvetica Neue" w:hAnsi="Helvetica Neue" w:cs="Helvetica Neue"/>
          <w:b/>
          <w:sz w:val="26"/>
          <w:szCs w:val="26"/>
        </w:rPr>
        <w:t xml:space="preserve">cle 2 – Vente aux enchères silencieuse </w:t>
      </w:r>
    </w:p>
    <w:p w:rsidR="005F4374" w:rsidRDefault="005F4374">
      <w:pPr>
        <w:rPr>
          <w:rFonts w:ascii="Helvetica Neue" w:eastAsia="Helvetica Neue" w:hAnsi="Helvetica Neue" w:cs="Helvetica Neue"/>
          <w:b/>
          <w:sz w:val="26"/>
          <w:szCs w:val="26"/>
        </w:rPr>
      </w:pP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1</w:t>
      </w:r>
      <w:r>
        <w:rPr>
          <w:rFonts w:ascii="Helvetica Neue" w:eastAsia="Helvetica Neue" w:hAnsi="Helvetica Neue" w:cs="Helvetica Neue"/>
          <w:sz w:val="26"/>
          <w:szCs w:val="26"/>
        </w:rPr>
        <w:t xml:space="preserve">Le prix d’entrée des œuvres exposées est fixé par l’artiste. Le prix d’achat dépend des mises effectuées par les enchérisseurs pendant la durée de la vente aux enchères. Les prix sont exprimés TVA incluse. </w:t>
      </w: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2</w:t>
      </w:r>
      <w:r>
        <w:rPr>
          <w:rFonts w:ascii="Helvetica Neue" w:eastAsia="Helvetica Neue" w:hAnsi="Helvetica Neue" w:cs="Helvetica Neue"/>
          <w:sz w:val="26"/>
          <w:szCs w:val="26"/>
        </w:rPr>
        <w:t xml:space="preserve"> La re</w:t>
      </w:r>
      <w:r>
        <w:rPr>
          <w:rFonts w:ascii="Helvetica Neue" w:eastAsia="Helvetica Neue" w:hAnsi="Helvetica Neue" w:cs="Helvetica Neue"/>
          <w:sz w:val="26"/>
          <w:szCs w:val="26"/>
        </w:rPr>
        <w:t xml:space="preserve">mise d’un ordre d’achat, lors de la vente aux enchères et signé par l’enchérisseur, signifie que celle-ci est juridiquement obligatoire. L’enchérisseur demeure lié à son offre, exceptée si celle-ci fait l’objet d’une surenchère. </w:t>
      </w: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3</w:t>
      </w:r>
      <w:r>
        <w:rPr>
          <w:rFonts w:ascii="Helvetica Neue" w:eastAsia="Helvetica Neue" w:hAnsi="Helvetica Neue" w:cs="Helvetica Neue"/>
          <w:sz w:val="26"/>
          <w:szCs w:val="26"/>
        </w:rPr>
        <w:t xml:space="preserve">A l’issu de la vente aux </w:t>
      </w:r>
      <w:r>
        <w:rPr>
          <w:rFonts w:ascii="Helvetica Neue" w:eastAsia="Helvetica Neue" w:hAnsi="Helvetica Neue" w:cs="Helvetica Neue"/>
          <w:sz w:val="26"/>
          <w:szCs w:val="26"/>
        </w:rPr>
        <w:t>enchères, chaque ordre d’achat est lu et chaque œuvre est attribuée à l’acheteur ayant mis par écrit la mise la plus haute. En cas de mises égales, l’ordre chronologique de réception des ordres d’achat fait foi et le premier ordre déposé remporte le lot me</w:t>
      </w:r>
      <w:r>
        <w:rPr>
          <w:rFonts w:ascii="Helvetica Neue" w:eastAsia="Helvetica Neue" w:hAnsi="Helvetica Neue" w:cs="Helvetica Neue"/>
          <w:sz w:val="26"/>
          <w:szCs w:val="26"/>
        </w:rPr>
        <w:t xml:space="preserve">ntionné dans ce dernier. </w:t>
      </w: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4</w:t>
      </w:r>
      <w:r>
        <w:rPr>
          <w:rFonts w:ascii="Helvetica Neue" w:eastAsia="Helvetica Neue" w:hAnsi="Helvetica Neue" w:cs="Helvetica Neue"/>
          <w:sz w:val="26"/>
          <w:szCs w:val="26"/>
        </w:rPr>
        <w:t xml:space="preserve">L’ordre d’achat ainsi que les présentes dispositions qui régissent la vente aux enchères silencieuse du Cabanon font office de contrat de vente entre le Cabanon et l’acheteur. </w:t>
      </w:r>
    </w:p>
    <w:p w:rsidR="005F4374" w:rsidRDefault="004E3D8F">
      <w:pPr>
        <w:rPr>
          <w:rFonts w:ascii="Helvetica Neue" w:eastAsia="Helvetica Neue" w:hAnsi="Helvetica Neue" w:cs="Helvetica Neue"/>
          <w:color w:val="38761D"/>
          <w:sz w:val="26"/>
          <w:szCs w:val="26"/>
        </w:rPr>
      </w:pPr>
      <w:r>
        <w:rPr>
          <w:rFonts w:ascii="Helvetica Neue" w:eastAsia="Helvetica Neue" w:hAnsi="Helvetica Neue" w:cs="Helvetica Neue"/>
          <w:color w:val="38761D"/>
          <w:sz w:val="26"/>
          <w:szCs w:val="26"/>
        </w:rPr>
        <w:t>(</w:t>
      </w:r>
      <w:r>
        <w:rPr>
          <w:rFonts w:ascii="Helvetica Neue" w:eastAsia="Helvetica Neue" w:hAnsi="Helvetica Neue" w:cs="Helvetica Neue"/>
          <w:color w:val="38761D"/>
          <w:sz w:val="26"/>
          <w:szCs w:val="26"/>
          <w:vertAlign w:val="superscript"/>
        </w:rPr>
        <w:t>5</w:t>
      </w:r>
      <w:r>
        <w:rPr>
          <w:rFonts w:ascii="Helvetica Neue" w:eastAsia="Helvetica Neue" w:hAnsi="Helvetica Neue" w:cs="Helvetica Neue"/>
          <w:color w:val="38761D"/>
          <w:sz w:val="26"/>
          <w:szCs w:val="26"/>
        </w:rPr>
        <w:t>Affichage des mises)</w:t>
      </w:r>
    </w:p>
    <w:p w:rsidR="005F4374" w:rsidRDefault="005F4374">
      <w:pPr>
        <w:rPr>
          <w:rFonts w:ascii="Helvetica Neue" w:eastAsia="Helvetica Neue" w:hAnsi="Helvetica Neue" w:cs="Helvetica Neue"/>
          <w:sz w:val="26"/>
          <w:szCs w:val="26"/>
        </w:rPr>
      </w:pPr>
    </w:p>
    <w:p w:rsidR="005F4374" w:rsidRDefault="004E3D8F">
      <w:pPr>
        <w:rPr>
          <w:rFonts w:ascii="Helvetica Neue" w:eastAsia="Helvetica Neue" w:hAnsi="Helvetica Neue" w:cs="Helvetica Neue"/>
          <w:b/>
          <w:sz w:val="26"/>
          <w:szCs w:val="26"/>
        </w:rPr>
      </w:pPr>
      <w:r>
        <w:rPr>
          <w:rFonts w:ascii="Helvetica Neue" w:eastAsia="Helvetica Neue" w:hAnsi="Helvetica Neue" w:cs="Helvetica Neue"/>
          <w:b/>
          <w:sz w:val="26"/>
          <w:szCs w:val="26"/>
        </w:rPr>
        <w:t xml:space="preserve">Article 3 – Paiement des objets adjugés </w:t>
      </w:r>
    </w:p>
    <w:p w:rsidR="005F4374" w:rsidRDefault="005F4374">
      <w:pPr>
        <w:rPr>
          <w:rFonts w:ascii="Helvetica Neue" w:eastAsia="Helvetica Neue" w:hAnsi="Helvetica Neue" w:cs="Helvetica Neue"/>
          <w:b/>
          <w:sz w:val="26"/>
          <w:szCs w:val="26"/>
        </w:rPr>
      </w:pP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lastRenderedPageBreak/>
        <w:t>1</w:t>
      </w:r>
      <w:r>
        <w:rPr>
          <w:rFonts w:ascii="Helvetica Neue" w:eastAsia="Helvetica Neue" w:hAnsi="Helvetica Neue" w:cs="Helvetica Neue"/>
          <w:sz w:val="26"/>
          <w:szCs w:val="26"/>
        </w:rPr>
        <w:t xml:space="preserve">Le paiement </w:t>
      </w:r>
      <w:r>
        <w:rPr>
          <w:rFonts w:ascii="Helvetica Neue" w:eastAsia="Helvetica Neue" w:hAnsi="Helvetica Neue" w:cs="Helvetica Neue"/>
          <w:sz w:val="26"/>
          <w:szCs w:val="26"/>
        </w:rPr>
        <w:t xml:space="preserve">s’effectue soit cash lors de la vente aux enchères, après l’attribution officielle des lots, soit par bulletin de versement en faveur du Cabanon dans un délai de dix jours après la clôture de la vente aux enchères silencieuse. </w:t>
      </w: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2</w:t>
      </w:r>
      <w:r>
        <w:rPr>
          <w:rFonts w:ascii="Helvetica Neue" w:eastAsia="Helvetica Neue" w:hAnsi="Helvetica Neue" w:cs="Helvetica Neue"/>
          <w:sz w:val="26"/>
          <w:szCs w:val="26"/>
        </w:rPr>
        <w:t>Si le paiement dû par l’ach</w:t>
      </w:r>
      <w:r>
        <w:rPr>
          <w:rFonts w:ascii="Helvetica Neue" w:eastAsia="Helvetica Neue" w:hAnsi="Helvetica Neue" w:cs="Helvetica Neue"/>
          <w:sz w:val="26"/>
          <w:szCs w:val="26"/>
        </w:rPr>
        <w:t>eteur n’a pas lieu ou n’intervient pas à temps, le Cabanon peut, au choix, en son nom et également au nom de l’auteur du lot, soit continuer à exiger l’exécution du contrat de vente, soit renoncer au droit de demander l’exécution du contrat de vente et rés</w:t>
      </w:r>
      <w:r>
        <w:rPr>
          <w:rFonts w:ascii="Helvetica Neue" w:eastAsia="Helvetica Neue" w:hAnsi="Helvetica Neue" w:cs="Helvetica Neue"/>
          <w:sz w:val="26"/>
          <w:szCs w:val="26"/>
        </w:rPr>
        <w:t>ilier le contrat de vente. Le Cabanon peut, dans ce dernier cas, réclamer des dommages-intérêts pour cause d’inexécution.</w:t>
      </w:r>
    </w:p>
    <w:p w:rsidR="005F4374" w:rsidRDefault="005F4374"/>
    <w:p w:rsidR="005F4374" w:rsidRDefault="004E3D8F">
      <w:pPr>
        <w:rPr>
          <w:rFonts w:ascii="Helvetica Neue" w:eastAsia="Helvetica Neue" w:hAnsi="Helvetica Neue" w:cs="Helvetica Neue"/>
          <w:b/>
          <w:sz w:val="26"/>
          <w:szCs w:val="26"/>
        </w:rPr>
      </w:pPr>
      <w:r>
        <w:rPr>
          <w:rFonts w:ascii="Helvetica Neue" w:eastAsia="Helvetica Neue" w:hAnsi="Helvetica Neue" w:cs="Helvetica Neue"/>
          <w:b/>
          <w:sz w:val="26"/>
          <w:szCs w:val="26"/>
        </w:rPr>
        <w:t xml:space="preserve">Article 4 – Transfert de propriété </w:t>
      </w:r>
    </w:p>
    <w:p w:rsidR="005F4374" w:rsidRDefault="005F4374">
      <w:pPr>
        <w:rPr>
          <w:rFonts w:ascii="Helvetica Neue" w:eastAsia="Helvetica Neue" w:hAnsi="Helvetica Neue" w:cs="Helvetica Neue"/>
          <w:b/>
          <w:sz w:val="26"/>
          <w:szCs w:val="26"/>
        </w:rPr>
      </w:pP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1</w:t>
      </w:r>
      <w:r>
        <w:rPr>
          <w:rFonts w:ascii="Helvetica Neue" w:eastAsia="Helvetica Neue" w:hAnsi="Helvetica Neue" w:cs="Helvetica Neue"/>
          <w:sz w:val="26"/>
          <w:szCs w:val="26"/>
        </w:rPr>
        <w:t>La propriété d’un objet adjugé est transférée à l’acheteur dès que le prix de vente a été intég</w:t>
      </w:r>
      <w:r>
        <w:rPr>
          <w:rFonts w:ascii="Helvetica Neue" w:eastAsia="Helvetica Neue" w:hAnsi="Helvetica Neue" w:cs="Helvetica Neue"/>
          <w:sz w:val="26"/>
          <w:szCs w:val="26"/>
        </w:rPr>
        <w:t xml:space="preserve">ralement versé en faveur du Cabanon et que ce dernier aura affecté le paiement à l’objet correspondant. </w:t>
      </w:r>
    </w:p>
    <w:p w:rsidR="005F4374" w:rsidRDefault="005F4374">
      <w:pPr>
        <w:rPr>
          <w:rFonts w:ascii="Helvetica Neue" w:eastAsia="Helvetica Neue" w:hAnsi="Helvetica Neue" w:cs="Helvetica Neue"/>
          <w:sz w:val="26"/>
          <w:szCs w:val="26"/>
        </w:rPr>
      </w:pPr>
    </w:p>
    <w:p w:rsidR="005F4374" w:rsidRDefault="004E3D8F">
      <w:pPr>
        <w:rPr>
          <w:rFonts w:ascii="Helvetica Neue" w:eastAsia="Helvetica Neue" w:hAnsi="Helvetica Neue" w:cs="Helvetica Neue"/>
          <w:b/>
          <w:sz w:val="26"/>
          <w:szCs w:val="26"/>
        </w:rPr>
      </w:pPr>
      <w:r>
        <w:rPr>
          <w:rFonts w:ascii="Helvetica Neue" w:eastAsia="Helvetica Neue" w:hAnsi="Helvetica Neue" w:cs="Helvetica Neue"/>
          <w:b/>
          <w:sz w:val="26"/>
          <w:szCs w:val="26"/>
        </w:rPr>
        <w:t xml:space="preserve">Article 5 – Enlèvement des objets adjugés </w:t>
      </w:r>
    </w:p>
    <w:p w:rsidR="005F4374" w:rsidRDefault="005F4374">
      <w:pPr>
        <w:rPr>
          <w:rFonts w:ascii="Helvetica Neue" w:eastAsia="Helvetica Neue" w:hAnsi="Helvetica Neue" w:cs="Helvetica Neue"/>
          <w:b/>
          <w:sz w:val="26"/>
          <w:szCs w:val="26"/>
        </w:rPr>
      </w:pP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1</w:t>
      </w:r>
      <w:r>
        <w:rPr>
          <w:rFonts w:ascii="Helvetica Neue" w:eastAsia="Helvetica Neue" w:hAnsi="Helvetica Neue" w:cs="Helvetica Neue"/>
          <w:sz w:val="26"/>
          <w:szCs w:val="26"/>
        </w:rPr>
        <w:t xml:space="preserve">La remise du lot a lieu après paiement intégral du prix de vente de l’objet adjugé, en faveur du Cabanon. </w:t>
      </w: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2</w:t>
      </w:r>
      <w:r>
        <w:rPr>
          <w:rFonts w:ascii="Helvetica Neue" w:eastAsia="Helvetica Neue" w:hAnsi="Helvetica Neue" w:cs="Helvetica Neue"/>
          <w:sz w:val="26"/>
          <w:szCs w:val="26"/>
        </w:rPr>
        <w:t xml:space="preserve">En cas de paiement cash, l’acheteur peut repartir directement avec son lot, après la clôture de la vente aux enchères silencieuse. </w:t>
      </w: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3</w:t>
      </w:r>
      <w:r>
        <w:rPr>
          <w:rFonts w:ascii="Helvetica Neue" w:eastAsia="Helvetica Neue" w:hAnsi="Helvetica Neue" w:cs="Helvetica Neue"/>
          <w:sz w:val="26"/>
          <w:szCs w:val="26"/>
        </w:rPr>
        <w:t>En cas de paiem</w:t>
      </w:r>
      <w:r>
        <w:rPr>
          <w:rFonts w:ascii="Helvetica Neue" w:eastAsia="Helvetica Neue" w:hAnsi="Helvetica Neue" w:cs="Helvetica Neue"/>
          <w:sz w:val="26"/>
          <w:szCs w:val="26"/>
        </w:rPr>
        <w:t>ent par bulletin de versement, l’acheteur doit venir retirer à ses propres frais l’objet adjugé lorsque le paiement intégral aura été versé en faveur du Cabanon et que ce dernier aura affecté le paiement à l’objet correspondant.</w:t>
      </w: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4</w:t>
      </w:r>
      <w:r>
        <w:rPr>
          <w:rFonts w:ascii="Helvetica Neue" w:eastAsia="Helvetica Neue" w:hAnsi="Helvetica Neue" w:cs="Helvetica Neue"/>
          <w:sz w:val="26"/>
          <w:szCs w:val="26"/>
        </w:rPr>
        <w:t>Pendant le délai précité à</w:t>
      </w:r>
      <w:r>
        <w:rPr>
          <w:rFonts w:ascii="Helvetica Neue" w:eastAsia="Helvetica Neue" w:hAnsi="Helvetica Neue" w:cs="Helvetica Neue"/>
          <w:sz w:val="26"/>
          <w:szCs w:val="26"/>
        </w:rPr>
        <w:t xml:space="preserve"> l’article 5 – point 3, le Cabanon est responsable de la perte, du vol, de l’endommagement ou de la destruction des objets adjugés et payés. </w:t>
      </w:r>
    </w:p>
    <w:p w:rsidR="005F4374" w:rsidRDefault="005F4374">
      <w:pPr>
        <w:rPr>
          <w:rFonts w:ascii="Helvetica Neue" w:eastAsia="Helvetica Neue" w:hAnsi="Helvetica Neue" w:cs="Helvetica Neue"/>
          <w:sz w:val="26"/>
          <w:szCs w:val="26"/>
        </w:rPr>
      </w:pPr>
    </w:p>
    <w:p w:rsidR="005F4374" w:rsidRDefault="004E3D8F">
      <w:pPr>
        <w:rPr>
          <w:rFonts w:ascii="Helvetica Neue" w:eastAsia="Helvetica Neue" w:hAnsi="Helvetica Neue" w:cs="Helvetica Neue"/>
          <w:b/>
          <w:sz w:val="26"/>
          <w:szCs w:val="26"/>
        </w:rPr>
      </w:pPr>
      <w:r>
        <w:rPr>
          <w:rFonts w:ascii="Helvetica Neue" w:eastAsia="Helvetica Neue" w:hAnsi="Helvetica Neue" w:cs="Helvetica Neue"/>
          <w:b/>
          <w:sz w:val="26"/>
          <w:szCs w:val="26"/>
        </w:rPr>
        <w:t xml:space="preserve">Article 6 – Dispositions diverses </w:t>
      </w:r>
    </w:p>
    <w:p w:rsidR="005F4374" w:rsidRDefault="005F4374">
      <w:pPr>
        <w:rPr>
          <w:rFonts w:ascii="Helvetica Neue" w:eastAsia="Helvetica Neue" w:hAnsi="Helvetica Neue" w:cs="Helvetica Neue"/>
          <w:b/>
          <w:sz w:val="26"/>
          <w:szCs w:val="26"/>
        </w:rPr>
      </w:pPr>
    </w:p>
    <w:p w:rsidR="005F4374" w:rsidRDefault="004E3D8F">
      <w:pPr>
        <w:rPr>
          <w:rFonts w:ascii="Helvetica Neue" w:eastAsia="Helvetica Neue" w:hAnsi="Helvetica Neue" w:cs="Helvetica Neue"/>
          <w:sz w:val="26"/>
          <w:szCs w:val="26"/>
        </w:rPr>
      </w:pPr>
      <w:r>
        <w:rPr>
          <w:rFonts w:ascii="Helvetica Neue" w:eastAsia="Helvetica Neue" w:hAnsi="Helvetica Neue" w:cs="Helvetica Neue"/>
          <w:sz w:val="26"/>
          <w:szCs w:val="26"/>
          <w:vertAlign w:val="superscript"/>
        </w:rPr>
        <w:t>1</w:t>
      </w:r>
      <w:r>
        <w:rPr>
          <w:rFonts w:ascii="Helvetica Neue" w:eastAsia="Helvetica Neue" w:hAnsi="Helvetica Neue" w:cs="Helvetica Neue"/>
          <w:sz w:val="26"/>
          <w:szCs w:val="26"/>
        </w:rPr>
        <w:t>Le Cabanon se réserve le droit de publier des photographies des objets vendus dans ses propres publications.</w:t>
      </w:r>
    </w:p>
    <w:sectPr w:rsidR="005F4374">
      <w:foot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D8F" w:rsidRDefault="004E3D8F">
      <w:pPr>
        <w:spacing w:line="240" w:lineRule="auto"/>
      </w:pPr>
      <w:r>
        <w:separator/>
      </w:r>
    </w:p>
  </w:endnote>
  <w:endnote w:type="continuationSeparator" w:id="0">
    <w:p w:rsidR="004E3D8F" w:rsidRDefault="004E3D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4374" w:rsidRDefault="004E3D8F">
    <w:pPr>
      <w:jc w:val="right"/>
      <w:rPr>
        <w:rFonts w:ascii="Helvetica Neue" w:eastAsia="Helvetica Neue" w:hAnsi="Helvetica Neue" w:cs="Helvetica Neue"/>
        <w:sz w:val="26"/>
        <w:szCs w:val="26"/>
      </w:rPr>
    </w:pPr>
    <w:r>
      <w:rPr>
        <w:rFonts w:ascii="Helvetica Neue" w:eastAsia="Helvetica Neue" w:hAnsi="Helvetica Neue" w:cs="Helvetica Neue"/>
        <w:sz w:val="26"/>
        <w:szCs w:val="26"/>
      </w:rPr>
      <w:fldChar w:fldCharType="begin"/>
    </w:r>
    <w:r>
      <w:rPr>
        <w:rFonts w:ascii="Helvetica Neue" w:eastAsia="Helvetica Neue" w:hAnsi="Helvetica Neue" w:cs="Helvetica Neue"/>
        <w:sz w:val="26"/>
        <w:szCs w:val="26"/>
      </w:rPr>
      <w:instrText>PAGE</w:instrText>
    </w:r>
    <w:r w:rsidR="003104CD">
      <w:rPr>
        <w:rFonts w:ascii="Helvetica Neue" w:eastAsia="Helvetica Neue" w:hAnsi="Helvetica Neue" w:cs="Helvetica Neue"/>
        <w:sz w:val="26"/>
        <w:szCs w:val="26"/>
      </w:rPr>
      <w:fldChar w:fldCharType="separate"/>
    </w:r>
    <w:r w:rsidR="003104CD">
      <w:rPr>
        <w:rFonts w:ascii="Helvetica Neue" w:eastAsia="Helvetica Neue" w:hAnsi="Helvetica Neue" w:cs="Helvetica Neue"/>
        <w:noProof/>
        <w:sz w:val="26"/>
        <w:szCs w:val="26"/>
      </w:rPr>
      <w:t>1</w:t>
    </w:r>
    <w:r>
      <w:rPr>
        <w:rFonts w:ascii="Helvetica Neue" w:eastAsia="Helvetica Neue" w:hAnsi="Helvetica Neue" w:cs="Helvetica Neue"/>
        <w:sz w:val="26"/>
        <w:szCs w:val="26"/>
      </w:rPr>
      <w:fldChar w:fldCharType="end"/>
    </w:r>
    <w:r>
      <w:rPr>
        <w:rFonts w:ascii="Helvetica Neue" w:eastAsia="Helvetica Neue" w:hAnsi="Helvetica Neue" w:cs="Helvetica Neue"/>
        <w:sz w:val="26"/>
        <w:szCs w:val="26"/>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D8F" w:rsidRDefault="004E3D8F">
      <w:pPr>
        <w:spacing w:line="240" w:lineRule="auto"/>
      </w:pPr>
      <w:r>
        <w:separator/>
      </w:r>
    </w:p>
  </w:footnote>
  <w:footnote w:type="continuationSeparator" w:id="0">
    <w:p w:rsidR="004E3D8F" w:rsidRDefault="004E3D8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374"/>
    <w:rsid w:val="003104CD"/>
    <w:rsid w:val="004E3D8F"/>
    <w:rsid w:val="005F43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0EB259-9231-4098-888B-C2B0EB9F7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lecabanon-unil.c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492</Words>
  <Characters>2712</Characters>
  <Application>Microsoft Office Word</Application>
  <DocSecurity>0</DocSecurity>
  <Lines>22</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Wilde</dc:creator>
  <cp:lastModifiedBy>Thomas Wilde</cp:lastModifiedBy>
  <cp:revision>2</cp:revision>
  <dcterms:created xsi:type="dcterms:W3CDTF">2019-11-16T12:22:00Z</dcterms:created>
  <dcterms:modified xsi:type="dcterms:W3CDTF">2019-11-16T12:22:00Z</dcterms:modified>
</cp:coreProperties>
</file>