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48"/>
          <w:szCs w:val="48"/>
        </w:rPr>
        <w:t xml:space="preserve">Data Cleaning and Sample Filters</w:t>
      </w:r>
    </w:p>
    <w:p>
      <w:pPr>
        <w:spacing w:after="80" w:before="0"/>
        <w:jc w:val="center"/>
      </w:pPr>
      <w:r>
        <w:rPr>
          <w:rFonts w:ascii="Arial" w:cs="Arial" w:eastAsia="Arial" w:hAnsi="Arial"/>
          <w:i/>
          <w:iCs/>
          <w:color w:val="2E74B5"/>
          <w:sz w:val="26"/>
          <w:szCs w:val="26"/>
        </w:rPr>
        <w:t xml:space="preserve">Following the Methodology of Yeh, Macaluso, and Hershbein (2022)</w:t>
      </w:r>
    </w:p>
    <w:p>
      <w:pPr>
        <w:spacing w:after="480" w:before="0"/>
        <w:jc w:val="center"/>
      </w:pPr>
      <w:r>
        <w:rPr>
          <w:rFonts w:ascii="Arial" w:cs="Arial" w:eastAsia="Arial" w:hAnsi="Arial"/>
          <w:color w:val="555555"/>
          <w:sz w:val="22"/>
          <w:szCs w:val="22"/>
        </w:rPr>
        <w:t xml:space="preserve">American Economic Review, Vol. 112, No. 7, pp. 2099–2138</w:t>
      </w:r>
    </w:p>
    <w:p>
      <w:pPr>
        <w:pBdr>
          <w:bottom w:val="single" w:color="2E74B5" w:sz="4" w:space="1"/>
        </w:pBdr>
        <w:spacing w:after="200" w:before="200"/>
      </w:pPr>
      <w:r>
        <w:t xml:space="preserve"/>
      </w:r>
    </w:p>
    <w:p>
      <w:pPr>
        <w:pStyle w:val="Heading1"/>
        <w:spacing w:after="180" w:before="360"/>
      </w:pPr>
      <w:r>
        <w:rPr>
          <w:rFonts w:ascii="Arial" w:cs="Arial" w:eastAsia="Arial" w:hAnsi="Arial"/>
          <w:b/>
          <w:bCs/>
          <w:color w:val="1F4E79"/>
          <w:sz w:val="32"/>
          <w:szCs w:val="32"/>
        </w:rPr>
        <w:t xml:space="preserve">1. Overview</w:t>
      </w:r>
    </w:p>
    <w:p>
      <w:pPr>
        <w:spacing w:after="80" w:before="80" w:line="276"/>
      </w:pPr>
      <w:r>
        <w:rPr>
          <w:rFonts w:ascii="Arial" w:cs="Arial" w:eastAsia="Arial" w:hAnsi="Arial"/>
          <w:sz w:val="22"/>
          <w:szCs w:val="22"/>
        </w:rPr>
        <w:t xml:space="preserve">This document describes the sequential data-cleaning steps and sample filters applied to the raw plant-level panel prior to estimating markdowns. The procedure closely follows Yeh, Macaluso, and Hershbein (2022) — hereafter YMH — who estimate plant-level labor-market markdowns (the wedge between the marginal revenue product of labor and wages) for the entire US manufacturing sector over 1976–2014.</w:t>
      </w:r>
    </w:p>
    <w:p>
      <w:pPr>
        <w:spacing w:after="60" w:before="60"/>
      </w:pPr>
      <w:r>
        <w:t xml:space="preserve"/>
      </w:r>
    </w:p>
    <w:p>
      <w:pPr>
        <w:spacing w:after="80" w:before="80" w:line="276"/>
      </w:pPr>
      <w:r>
        <w:rPr>
          <w:rFonts w:ascii="Arial" w:cs="Arial" w:eastAsia="Arial" w:hAnsi="Arial"/>
          <w:sz w:val="22"/>
          <w:szCs w:val="22"/>
        </w:rPr>
        <w:t xml:space="preserve">YMH use the </w:t>
      </w:r>
      <w:r>
        <w:rPr>
          <w:rFonts w:ascii="Arial" w:cs="Arial" w:eastAsia="Arial" w:hAnsi="Arial"/>
          <w:b/>
          <w:bCs/>
          <w:sz w:val="22"/>
          <w:szCs w:val="22"/>
        </w:rPr>
        <w:t xml:space="preserve">Census of Manufactures (CM)</w:t>
      </w:r>
      <w:r>
        <w:rPr>
          <w:rFonts w:ascii="Arial" w:cs="Arial" w:eastAsia="Arial" w:hAnsi="Arial"/>
          <w:sz w:val="22"/>
          <w:szCs w:val="22"/>
        </w:rPr>
        <w:t xml:space="preserve"> and the </w:t>
      </w:r>
      <w:r>
        <w:rPr>
          <w:rFonts w:ascii="Arial" w:cs="Arial" w:eastAsia="Arial" w:hAnsi="Arial"/>
          <w:b/>
          <w:bCs/>
          <w:sz w:val="22"/>
          <w:szCs w:val="22"/>
        </w:rPr>
        <w:t xml:space="preserve">Annual Survey of Manufactures (ASM)</w:t>
      </w:r>
      <w:r>
        <w:rPr>
          <w:rFonts w:ascii="Arial" w:cs="Arial" w:eastAsia="Arial" w:hAnsi="Arial"/>
          <w:sz w:val="22"/>
          <w:szCs w:val="22"/>
        </w:rPr>
        <w:t xml:space="preserve">, both from the US Census Bureau, as their primary data sources. The production-function approach requires reliable plant-level information on revenues and inputs (capital, labor, materials, and energy). Cleaning the raw data is therefore a critical step in obtaining credible markdown estimates.</w:t>
      </w:r>
    </w:p>
    <w:p>
      <w:pPr>
        <w:spacing w:after="60" w:before="60"/>
      </w:pPr>
      <w:r>
        <w:t xml:space="preserve"/>
      </w:r>
    </w:p>
    <w:p>
      <w:pPr>
        <w:spacing w:after="80" w:before="80" w:line="276"/>
      </w:pPr>
      <w:r>
        <w:rPr>
          <w:rFonts w:ascii="Arial" w:cs="Arial" w:eastAsia="Arial" w:hAnsi="Arial"/>
          <w:sz w:val="22"/>
          <w:szCs w:val="22"/>
        </w:rPr>
        <w:t xml:space="preserve">The filters described below are applied in the order listed. Each subsection explains the motivation, the specific rule, and the relevant reference in YMH.</w:t>
      </w:r>
    </w:p>
    <w:p>
      <w:pPr>
        <w:pBdr>
          <w:bottom w:val="single" w:color="2E74B5" w:sz="4" w:space="1"/>
        </w:pBdr>
        <w:spacing w:after="200" w:before="200"/>
      </w:pPr>
      <w:r>
        <w:t xml:space="preserve"/>
      </w:r>
    </w:p>
    <w:p>
      <w:pPr>
        <w:pStyle w:val="Heading1"/>
        <w:spacing w:after="180" w:before="360"/>
      </w:pPr>
      <w:r>
        <w:rPr>
          <w:rFonts w:ascii="Arial" w:cs="Arial" w:eastAsia="Arial" w:hAnsi="Arial"/>
          <w:b/>
          <w:bCs/>
          <w:color w:val="1F4E79"/>
          <w:sz w:val="32"/>
          <w:szCs w:val="32"/>
        </w:rPr>
        <w:t xml:space="preserve">2. Summary of Filters</w:t>
      </w:r>
    </w:p>
    <w:p>
      <w:pPr>
        <w:spacing w:after="80" w:before="80" w:line="276"/>
      </w:pPr>
      <w:r>
        <w:rPr>
          <w:rFonts w:ascii="Arial" w:cs="Arial" w:eastAsia="Arial" w:hAnsi="Arial"/>
          <w:sz w:val="22"/>
          <w:szCs w:val="22"/>
        </w:rPr>
        <w:t xml:space="preserve">The table below provides a high-level overview of all cleaning steps before each is discussed in detail.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27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Filter Name</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Variables Affected</w:t>
            </w:r>
          </w:p>
        </w:tc>
        <w:tc>
          <w:tcPr>
            <w:tcW w:type="dxa" w:w="27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YMH Reference</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Winsorisation / Trimming of Raw Variables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VA, GO, M, KEXP, K, L, WB</w:t>
            </w:r>
          </w:p>
        </w:tc>
        <w:tc>
          <w:tcPr>
            <w:tcW w:type="dxa" w:w="2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Section I.D; Data Appendix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Cost-Share Median Filter (Yeh et al. criterion)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m_tc = M/(WB+M+KEXP); l_tc = WB/(WB+M+KEXP)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Section I.D; Robustness</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Minimum Firm Count per Sector-Year</w:t>
            </w:r>
          </w:p>
        </w:tc>
        <w:tc>
          <w:tcPr>
            <w:tcW w:type="dxa" w:w="2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Sector × Year cell counts</w:t>
            </w:r>
          </w:p>
        </w:tc>
        <w:tc>
          <w:tcPr>
            <w:tcW w:type="dxa" w:w="2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Section 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Minimum Consecutive Years Threshold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Sector-level time span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Section I.D</w:t>
            </w:r>
          </w:p>
        </w:tc>
      </w:tr>
    </w:tbl>
    <w:p>
      <w:pPr>
        <w:spacing w:after="60" w:before="60"/>
      </w:pPr>
      <w:r>
        <w:t xml:space="preserve"/>
      </w:r>
    </w:p>
    <w:p>
      <w:pPr>
        <w:pBdr>
          <w:bottom w:val="single" w:color="2E74B5" w:sz="4" w:space="1"/>
        </w:pBdr>
        <w:spacing w:after="200" w:before="200"/>
      </w:pPr>
      <w:r>
        <w:t xml:space="preserve"/>
      </w:r>
    </w:p>
    <w:p>
      <w:pPr>
        <w:pStyle w:val="Heading1"/>
        <w:spacing w:after="180" w:before="360"/>
      </w:pPr>
      <w:r>
        <w:rPr>
          <w:rFonts w:ascii="Arial" w:cs="Arial" w:eastAsia="Arial" w:hAnsi="Arial"/>
          <w:b/>
          <w:bCs/>
          <w:color w:val="1F4E79"/>
          <w:sz w:val="32"/>
          <w:szCs w:val="32"/>
        </w:rPr>
        <w:t xml:space="preserve">3. Step 1 — Winsorisation and Trimming of Raw Variables</w:t>
      </w:r>
    </w:p>
    <w:p>
      <w:pPr>
        <w:pStyle w:val="Heading2"/>
        <w:spacing w:after="120" w:before="280"/>
      </w:pPr>
      <w:r>
        <w:rPr>
          <w:rFonts w:ascii="Arial" w:cs="Arial" w:eastAsia="Arial" w:hAnsi="Arial"/>
          <w:b/>
          <w:bCs/>
          <w:color w:val="2E74B5"/>
          <w:sz w:val="26"/>
          <w:szCs w:val="26"/>
        </w:rPr>
        <w:t xml:space="preserve">3.1 Purpose</w:t>
      </w:r>
    </w:p>
    <w:p>
      <w:pPr>
        <w:spacing w:after="80" w:before="80" w:line="276"/>
      </w:pPr>
      <w:r>
        <w:rPr>
          <w:rFonts w:ascii="Arial" w:cs="Arial" w:eastAsia="Arial" w:hAnsi="Arial"/>
          <w:sz w:val="22"/>
          <w:szCs w:val="22"/>
        </w:rPr>
        <w:t xml:space="preserve">Raw administrative data frequently contain extreme values arising from measurement error, coding mistakes, or genuine but highly influential outliers. Left uncorrected, such values can severely bias the production-function estimates that underpin markdown calculations. YMH explicitly address this by winsorising or trimming the main input and output variables before estimation (Section I.D and the online data appendix).</w:t>
      </w:r>
    </w:p>
    <w:p>
      <w:pPr>
        <w:pStyle w:val="Heading2"/>
        <w:spacing w:after="120" w:before="280"/>
      </w:pPr>
      <w:r>
        <w:rPr>
          <w:rFonts w:ascii="Arial" w:cs="Arial" w:eastAsia="Arial" w:hAnsi="Arial"/>
          <w:b/>
          <w:bCs/>
          <w:color w:val="2E74B5"/>
          <w:sz w:val="26"/>
          <w:szCs w:val="26"/>
        </w:rPr>
        <w:t xml:space="preserve">3.2 Variables</w:t>
      </w:r>
    </w:p>
    <w:p>
      <w:pPr>
        <w:spacing w:after="80" w:before="80" w:line="276"/>
      </w:pPr>
      <w:r>
        <w:rPr>
          <w:rFonts w:ascii="Arial" w:cs="Arial" w:eastAsia="Arial" w:hAnsi="Arial"/>
          <w:sz w:val="22"/>
          <w:szCs w:val="22"/>
        </w:rPr>
        <w:t xml:space="preserve">The following seven variables are cleaned at this stage: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7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VA</w:t>
            </w:r>
          </w:p>
        </w:tc>
        <w:tc>
          <w:tcPr>
            <w:tcW w:type="dxa" w:w="7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Value added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Gross output (revenue)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w:t>
            </w:r>
          </w:p>
        </w:tc>
        <w:tc>
          <w:tcPr>
            <w:tcW w:type="dxa" w:w="7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Materials expenditure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KEXP</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Capital expenditure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K</w:t>
            </w:r>
          </w:p>
        </w:tc>
        <w:tc>
          <w:tcPr>
            <w:tcW w:type="dxa" w:w="7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Capital stock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Employment (hours or headcount)</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WB</w:t>
            </w:r>
          </w:p>
        </w:tc>
        <w:tc>
          <w:tcPr>
            <w:tcW w:type="dxa" w:w="7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Wage bill (total labour compensation)</w:t>
            </w:r>
          </w:p>
        </w:tc>
      </w:tr>
    </w:tbl>
    <w:p>
      <w:pPr>
        <w:pStyle w:val="Heading2"/>
        <w:spacing w:after="120" w:before="280"/>
      </w:pPr>
      <w:r>
        <w:rPr>
          <w:rFonts w:ascii="Arial" w:cs="Arial" w:eastAsia="Arial" w:hAnsi="Arial"/>
          <w:b/>
          <w:bCs/>
          <w:color w:val="2E74B5"/>
          <w:sz w:val="26"/>
          <w:szCs w:val="26"/>
        </w:rPr>
        <w:t xml:space="preserve">3.3 Procedure</w:t>
      </w:r>
    </w:p>
    <w:p>
      <w:pPr>
        <w:spacing w:after="80" w:before="80" w:line="276"/>
      </w:pPr>
      <w:r>
        <w:rPr>
          <w:rFonts w:ascii="Arial" w:cs="Arial" w:eastAsia="Arial" w:hAnsi="Arial"/>
          <w:sz w:val="22"/>
          <w:szCs w:val="22"/>
        </w:rPr>
        <w:t xml:space="preserve">Two modes are supported, governed by the do_winsor_rawvars flag: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Label</w:t>
            </w:r>
          </w:p>
        </w:tc>
        <w:tc>
          <w:tcPr>
            <w:tcW w:type="dxa" w:w="62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Action</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Trim</w:t>
            </w:r>
          </w:p>
        </w:tc>
        <w:tc>
          <w:tcPr>
            <w:tcW w:type="dxa" w:w="62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Observations whose value falls below the p-th or above the (100−p)-th percentile are set to missing (dropped). This is equivalent to Stata’s gstats winsor with the trim option.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Winsorise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Observations at the tails are clamped to the percentile boundary rather than dropped. Values below the lower cut are replaced with the lower-cut value; values above the upper cut are replaced with the upper-cut value.</w:t>
            </w:r>
          </w:p>
        </w:tc>
      </w:tr>
    </w:tbl>
    <w:p>
      <w:pPr>
        <w:spacing w:after="60" w:before="60"/>
      </w:pPr>
      <w:r>
        <w:t xml:space="preserve"/>
      </w:r>
    </w:p>
    <w:p>
      <w:pPr>
        <w:spacing w:after="80" w:before="80" w:line="276"/>
      </w:pPr>
      <w:r>
        <w:rPr>
          <w:rFonts w:ascii="Arial" w:cs="Arial" w:eastAsia="Arial" w:hAnsi="Arial"/>
          <w:sz w:val="22"/>
          <w:szCs w:val="22"/>
        </w:rPr>
        <w:t xml:space="preserve">Percentile cuts (rawvars_low and rawvars_upp) are applied symmetrically within each sector × year cell, ensuring that the cleaning is robust to industry-specific and time-specific distributional differences. A common choice in the literature is to trim at the 1st and 99th percentiles (Syverson 2004; YMH data appendix).</w:t>
      </w:r>
    </w:p>
    <w:p>
      <w:pPr>
        <w:pStyle w:val="Heading2"/>
        <w:spacing w:after="120" w:before="280"/>
      </w:pPr>
      <w:r>
        <w:rPr>
          <w:rFonts w:ascii="Arial" w:cs="Arial" w:eastAsia="Arial" w:hAnsi="Arial"/>
          <w:b/>
          <w:bCs/>
          <w:color w:val="2E74B5"/>
          <w:sz w:val="26"/>
          <w:szCs w:val="26"/>
        </w:rPr>
        <w:t xml:space="preserve">3.4 Link to YMH</w:t>
      </w:r>
    </w:p>
    <w:p>
      <w:pPr>
        <w:spacing w:after="80" w:before="80" w:line="276"/>
      </w:pPr>
      <w:r>
        <w:rPr>
          <w:rFonts w:ascii="Arial" w:cs="Arial" w:eastAsia="Arial" w:hAnsi="Arial"/>
          <w:sz w:val="22"/>
          <w:szCs w:val="22"/>
        </w:rPr>
        <w:t xml:space="preserve">YMH construct output (revenues) and inputs using deflators from the NBER-CES Manufacturing Database and follow the </w:t>
      </w:r>
      <w:r>
        <w:rPr>
          <w:rFonts w:ascii="Arial" w:cs="Arial" w:eastAsia="Arial" w:hAnsi="Arial"/>
          <w:i/>
          <w:iCs/>
          <w:sz w:val="22"/>
          <w:szCs w:val="22"/>
        </w:rPr>
        <w:t xml:space="preserve">"standard procedures described in Syverson (2004a) and Kehrig (2015)"</w:t>
      </w:r>
      <w:r>
        <w:rPr>
          <w:rFonts w:ascii="Arial" w:cs="Arial" w:eastAsia="Arial" w:hAnsi="Arial"/>
          <w:sz w:val="22"/>
          <w:szCs w:val="22"/>
        </w:rPr>
        <w:t xml:space="preserve"> (YMH p. 2111). Outlier cleaning of the underlying raw series is a pre-condition for the proxy-variable production-function estimator to satisfy its identifying assumptions — in particular, that the scalar unobservable (productivity) is the only unobserved driver of input demand (Assumption 4 in YMH).</w:t>
      </w:r>
    </w:p>
    <w:p>
      <w:pPr>
        <w:pBdr>
          <w:bottom w:val="single" w:color="2E74B5" w:sz="4" w:space="1"/>
        </w:pBdr>
        <w:spacing w:after="200" w:before="200"/>
      </w:pPr>
      <w:r>
        <w:t xml:space="preserve"/>
      </w:r>
    </w:p>
    <w:p>
      <w:pPr>
        <w:pStyle w:val="Heading1"/>
        <w:spacing w:after="180" w:before="360"/>
      </w:pPr>
      <w:r>
        <w:rPr>
          <w:rFonts w:ascii="Arial" w:cs="Arial" w:eastAsia="Arial" w:hAnsi="Arial"/>
          <w:b/>
          <w:bCs/>
          <w:color w:val="1F4E79"/>
          <w:sz w:val="32"/>
          <w:szCs w:val="32"/>
        </w:rPr>
        <w:t xml:space="preserve">4. Step 2 — Cost-Share Median Filter</w:t>
      </w:r>
    </w:p>
    <w:p>
      <w:pPr>
        <w:pStyle w:val="Heading2"/>
        <w:spacing w:after="120" w:before="280"/>
      </w:pPr>
      <w:r>
        <w:rPr>
          <w:rFonts w:ascii="Arial" w:cs="Arial" w:eastAsia="Arial" w:hAnsi="Arial"/>
          <w:b/>
          <w:bCs/>
          <w:color w:val="2E74B5"/>
          <w:sz w:val="26"/>
          <w:szCs w:val="26"/>
        </w:rPr>
        <w:t xml:space="preserve">4.1 Purpose</w:t>
      </w:r>
    </w:p>
    <w:p>
      <w:pPr>
        <w:spacing w:after="80" w:before="80" w:line="276"/>
      </w:pPr>
      <w:r>
        <w:rPr>
          <w:rFonts w:ascii="Arial" w:cs="Arial" w:eastAsia="Arial" w:hAnsi="Arial"/>
          <w:sz w:val="22"/>
          <w:szCs w:val="22"/>
        </w:rPr>
        <w:t xml:space="preserve">Even after winsorising the raw variables, some plant-year observations may exhibit implausible input-cost structures — for instance, a plant reporting a materials share of total costs that is far below what is normal for its sector and year. Such plants may have serious data quality problems or may not satisfy the economic assumptions required for markdown identification. YMH address this with a sanity filter on cost shares.</w:t>
      </w:r>
    </w:p>
    <w:p>
      <w:pPr>
        <w:pStyle w:val="Heading2"/>
        <w:spacing w:after="120" w:before="280"/>
      </w:pPr>
      <w:r>
        <w:rPr>
          <w:rFonts w:ascii="Arial" w:cs="Arial" w:eastAsia="Arial" w:hAnsi="Arial"/>
          <w:b/>
          <w:bCs/>
          <w:color w:val="2E74B5"/>
          <w:sz w:val="26"/>
          <w:szCs w:val="26"/>
        </w:rPr>
        <w:t xml:space="preserve">4.2 Construction of Cost Shares</w:t>
      </w:r>
    </w:p>
    <w:p>
      <w:pPr>
        <w:spacing w:after="80" w:before="80" w:line="276"/>
      </w:pPr>
      <w:r>
        <w:rPr>
          <w:rFonts w:ascii="Arial" w:cs="Arial" w:eastAsia="Arial" w:hAnsi="Arial"/>
          <w:sz w:val="22"/>
          <w:szCs w:val="22"/>
        </w:rPr>
        <w:t xml:space="preserve">Total cost (TC) is defined as the sum of the wage bill, materials expenditure, and capital expenditure:</w:t>
      </w:r>
    </w:p>
    <w:p>
      <w:pPr>
        <w:spacing w:after="60" w:before="60"/>
      </w:pPr>
      <w:r>
        <w:t xml:space="preserve"/>
      </w:r>
    </w:p>
    <w:p>
      <w:pPr>
        <w:spacing w:after="120" w:before="120"/>
        <w:jc w:val="center"/>
      </w:pPr>
      <w:r>
        <w:rPr>
          <w:rFonts w:ascii="Courier New" w:cs="Courier New" w:eastAsia="Courier New" w:hAnsi="Courier New"/>
          <w:b/>
          <w:bCs/>
          <w:sz w:val="24"/>
          <w:szCs w:val="24"/>
        </w:rPr>
        <w:t xml:space="preserve">TC = WB + M + KEXP</w:t>
      </w:r>
    </w:p>
    <w:p>
      <w:pPr>
        <w:spacing w:after="60" w:before="60"/>
      </w:pPr>
      <w:r>
        <w:t xml:space="preserve"/>
      </w:r>
    </w:p>
    <w:p>
      <w:pPr>
        <w:spacing w:after="80" w:before="80" w:line="276"/>
      </w:pPr>
      <w:r>
        <w:rPr>
          <w:rFonts w:ascii="Arial" w:cs="Arial" w:eastAsia="Arial" w:hAnsi="Arial"/>
          <w:sz w:val="22"/>
          <w:szCs w:val="22"/>
        </w:rPr>
        <w:t xml:space="preserve">From TC, two cost-share ratios are computed: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Ratio</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Formula</w:t>
            </w:r>
          </w:p>
        </w:tc>
        <w:tc>
          <w:tcPr>
            <w:tcW w:type="dxa" w:w="5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Interpretation</w:t>
            </w:r>
          </w:p>
        </w:tc>
      </w:tr>
      <w:tr>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m_tc</w:t>
            </w:r>
          </w:p>
        </w:tc>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 / TC</w:t>
            </w:r>
          </w:p>
        </w:tc>
        <w:tc>
          <w:tcPr>
            <w:tcW w:type="dxa" w:w="5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Materials share of total cost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l_tc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WB / TC</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Labour (wage-bill) share of total cost</w:t>
            </w:r>
          </w:p>
        </w:tc>
      </w:tr>
    </w:tbl>
    <w:p>
      <w:pPr>
        <w:pStyle w:val="Heading2"/>
        <w:spacing w:after="120" w:before="280"/>
      </w:pPr>
      <w:r>
        <w:rPr>
          <w:rFonts w:ascii="Arial" w:cs="Arial" w:eastAsia="Arial" w:hAnsi="Arial"/>
          <w:b/>
          <w:bCs/>
          <w:color w:val="2E74B5"/>
          <w:sz w:val="26"/>
          <w:szCs w:val="26"/>
        </w:rPr>
        <w:t xml:space="preserve">4.3 Filter Rule</w:t>
      </w:r>
    </w:p>
    <w:p>
      <w:pPr>
        <w:spacing w:after="80" w:before="80" w:line="276"/>
      </w:pPr>
      <w:r>
        <w:rPr>
          <w:rFonts w:ascii="Arial" w:cs="Arial" w:eastAsia="Arial" w:hAnsi="Arial"/>
          <w:sz w:val="22"/>
          <w:szCs w:val="22"/>
        </w:rPr>
        <w:t xml:space="preserve">When the do_Yehetal_m_l_tc flag is active (= 1), the sector-year median of each cost share is computed. A plant-year observation is dropped if its cost share falls below a specified fraction of the sector-year median: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Condition for Dropping</w:t>
            </w:r>
          </w:p>
        </w:tc>
        <w:tc>
          <w:tcPr>
            <w:tcW w:type="dxa" w:w="38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r>
      <w:tr>
        <w:tc>
          <w:tcPr>
            <w:tcW w:type="dxa" w:w="5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m_tc &lt; m_tc_cut × median(m_tc | sector, year)</w:t>
            </w:r>
          </w:p>
        </w:tc>
        <w:tc>
          <w:tcPr>
            <w:tcW w:type="dxa" w:w="38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m_tc_cut (e.g. 0.25)</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l_tc &lt; l_tc_cut × median(l_tc | sector, year)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l_tc_cut (e.g. 0.25)</w:t>
            </w:r>
          </w:p>
        </w:tc>
      </w:tr>
    </w:tbl>
    <w:p>
      <w:pPr>
        <w:spacing w:after="60" w:before="60"/>
      </w:pPr>
      <w:r>
        <w:t xml:space="preserve"/>
      </w:r>
    </w:p>
    <w:p>
      <w:pPr>
        <w:spacing w:after="80" w:before="80" w:line="276"/>
      </w:pPr>
      <w:r>
        <w:rPr>
          <w:rFonts w:ascii="Arial" w:cs="Arial" w:eastAsia="Arial" w:hAnsi="Arial"/>
          <w:sz w:val="22"/>
          <w:szCs w:val="22"/>
        </w:rPr>
        <w:t xml:space="preserve">Setting the cut to 0.25 means that any plant whose materials (or labour) cost share is less than one quarter of the sector-year median is removed. The thresholds are applied at the sector × year level to account for genuine differences in input intensities across industries and over time.</w:t>
      </w:r>
    </w:p>
    <w:p>
      <w:pPr>
        <w:pStyle w:val="Heading2"/>
        <w:spacing w:after="120" w:before="280"/>
      </w:pPr>
      <w:r>
        <w:rPr>
          <w:rFonts w:ascii="Arial" w:cs="Arial" w:eastAsia="Arial" w:hAnsi="Arial"/>
          <w:b/>
          <w:bCs/>
          <w:color w:val="2E74B5"/>
          <w:sz w:val="26"/>
          <w:szCs w:val="26"/>
        </w:rPr>
        <w:t xml:space="preserve">4.4 Link to YMH</w:t>
      </w:r>
    </w:p>
    <w:p>
      <w:pPr>
        <w:spacing w:after="80" w:before="80" w:line="276"/>
      </w:pPr>
      <w:r>
        <w:rPr>
          <w:rFonts w:ascii="Arial" w:cs="Arial" w:eastAsia="Arial" w:hAnsi="Arial"/>
          <w:sz w:val="22"/>
          <w:szCs w:val="22"/>
        </w:rPr>
        <w:t xml:space="preserve">YMH require that material inputs satisfy Assumptions II–VI (no adjustment costs, no monopsony, statically chosen, used only for production). Plants with anomalously low materials cost shares are unlikely to satisfy these conditions and could contaminate the proxy-variable estimator. YMH discuss the plausibility of the flexible-input assumptions extensively in </w:t>
      </w:r>
      <w:r>
        <w:rPr>
          <w:rFonts w:ascii="Arial" w:cs="Arial" w:eastAsia="Arial" w:hAnsi="Arial"/>
          <w:i/>
          <w:iCs/>
          <w:sz w:val="22"/>
          <w:szCs w:val="22"/>
        </w:rPr>
        <w:t xml:space="preserve">Section IV.A</w:t>
      </w:r>
      <w:r>
        <w:rPr>
          <w:rFonts w:ascii="Arial" w:cs="Arial" w:eastAsia="Arial" w:hAnsi="Arial"/>
          <w:sz w:val="22"/>
          <w:szCs w:val="22"/>
        </w:rPr>
        <w:t xml:space="preserve"> and cite Atalay (2014) as evidence that materials prices do not vary systematically with quantities, consistent with competitive input markets.</w:t>
      </w:r>
    </w:p>
    <w:p>
      <w:pPr>
        <w:pBdr>
          <w:bottom w:val="single" w:color="2E74B5" w:sz="4" w:space="1"/>
        </w:pBdr>
        <w:spacing w:after="200" w:before="200"/>
      </w:pPr>
      <w:r>
        <w:t xml:space="preserve"/>
      </w:r>
    </w:p>
    <w:p>
      <w:pPr>
        <w:pStyle w:val="Heading1"/>
        <w:spacing w:after="180" w:before="360"/>
      </w:pPr>
      <w:r>
        <w:rPr>
          <w:rFonts w:ascii="Arial" w:cs="Arial" w:eastAsia="Arial" w:hAnsi="Arial"/>
          <w:b/>
          <w:bCs/>
          <w:color w:val="1F4E79"/>
          <w:sz w:val="32"/>
          <w:szCs w:val="32"/>
        </w:rPr>
        <w:t xml:space="preserve">5. Step 3 — Minimum Firm Count per Sector-Year</w:t>
      </w:r>
    </w:p>
    <w:p>
      <w:pPr>
        <w:pStyle w:val="Heading2"/>
        <w:spacing w:after="120" w:before="280"/>
      </w:pPr>
      <w:r>
        <w:rPr>
          <w:rFonts w:ascii="Arial" w:cs="Arial" w:eastAsia="Arial" w:hAnsi="Arial"/>
          <w:b/>
          <w:bCs/>
          <w:color w:val="2E74B5"/>
          <w:sz w:val="26"/>
          <w:szCs w:val="26"/>
        </w:rPr>
        <w:t xml:space="preserve">5.1 Purpose</w:t>
      </w:r>
    </w:p>
    <w:p>
      <w:pPr>
        <w:spacing w:after="80" w:before="80" w:line="276"/>
      </w:pPr>
      <w:r>
        <w:rPr>
          <w:rFonts w:ascii="Arial" w:cs="Arial" w:eastAsia="Arial" w:hAnsi="Arial"/>
          <w:sz w:val="22"/>
          <w:szCs w:val="22"/>
        </w:rPr>
        <w:t xml:space="preserve">Production-function parameters are estimated at the sector level using proxy-variable GMM (Ackerberg, Caves, and Frazer 2015, as adapted by YMH). Reliable estimation requires a sufficient number of plant observations within each sector-year cell. Sectors with very few plants in any given year do not provide enough variation to identify the production function parameters and are therefore excluded.</w:t>
      </w:r>
    </w:p>
    <w:p>
      <w:pPr>
        <w:pStyle w:val="Heading2"/>
        <w:spacing w:after="120" w:before="280"/>
      </w:pPr>
      <w:r>
        <w:rPr>
          <w:rFonts w:ascii="Arial" w:cs="Arial" w:eastAsia="Arial" w:hAnsi="Arial"/>
          <w:b/>
          <w:bCs/>
          <w:color w:val="2E74B5"/>
          <w:sz w:val="26"/>
          <w:szCs w:val="26"/>
        </w:rPr>
        <w:t xml:space="preserve">5.2 Rule</w:t>
      </w:r>
    </w:p>
    <w:p>
      <w:pPr>
        <w:spacing w:after="80" w:before="80" w:line="276"/>
      </w:pPr>
      <w:r>
        <w:rPr>
          <w:rFonts w:ascii="Arial" w:cs="Arial" w:eastAsia="Arial" w:hAnsi="Arial"/>
          <w:sz w:val="22"/>
          <w:szCs w:val="22"/>
        </w:rPr>
        <w:t xml:space="preserve">Any sector-year cell with fewer than </w:t>
      </w:r>
      <w:r>
        <w:rPr>
          <w:rFonts w:ascii="Arial" w:cs="Arial" w:eastAsia="Arial" w:hAnsi="Arial"/>
          <w:b/>
          <w:bCs/>
          <w:sz w:val="22"/>
          <w:szCs w:val="22"/>
        </w:rPr>
        <w:t xml:space="preserve">min_firms</w:t>
      </w:r>
      <w:r>
        <w:rPr>
          <w:rFonts w:ascii="Arial" w:cs="Arial" w:eastAsia="Arial" w:hAnsi="Arial"/>
          <w:sz w:val="22"/>
          <w:szCs w:val="22"/>
        </w:rPr>
        <w:t xml:space="preserve"> plant observations is flagged. The treatment depends on the periodicity setting: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Periodicity</w:t>
            </w:r>
          </w:p>
        </w:tc>
        <w:tc>
          <w:tcPr>
            <w:tcW w:type="dxa" w:w="6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Treatment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Annual (periodicity = 1)</w:t>
            </w:r>
          </w:p>
        </w:tc>
        <w:tc>
          <w:tcPr>
            <w:tcW w:type="dxa" w:w="6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A sector is retained only if it meets the minimum firm count for at least min_consecutive_years consecutive years (see Step 4). The annual count alone is not a sufficient condition for exclusion.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Other (e.g. quinquennial)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Any sector-year cell with firm_count &lt; min_firms is dropped immediately, without reference to consecutive years.</w:t>
            </w:r>
          </w:p>
        </w:tc>
      </w:tr>
    </w:tbl>
    <w:p>
      <w:pPr>
        <w:pStyle w:val="Heading2"/>
        <w:spacing w:after="120" w:before="280"/>
      </w:pPr>
      <w:r>
        <w:rPr>
          <w:rFonts w:ascii="Arial" w:cs="Arial" w:eastAsia="Arial" w:hAnsi="Arial"/>
          <w:b/>
          <w:bCs/>
          <w:color w:val="2E74B5"/>
          <w:sz w:val="26"/>
          <w:szCs w:val="26"/>
        </w:rPr>
        <w:t xml:space="preserve">5.3 Link to YMH</w:t>
      </w:r>
    </w:p>
    <w:p>
      <w:pPr>
        <w:spacing w:after="80" w:before="80" w:line="276"/>
      </w:pPr>
      <w:r>
        <w:rPr>
          <w:rFonts w:ascii="Arial" w:cs="Arial" w:eastAsia="Arial" w:hAnsi="Arial"/>
          <w:sz w:val="22"/>
          <w:szCs w:val="22"/>
        </w:rPr>
        <w:t xml:space="preserve">YMH estimate production functions separately for each three-digit NAICS industry group (</w:t>
      </w:r>
      <w:r>
        <w:rPr>
          <w:rFonts w:ascii="Arial" w:cs="Arial" w:eastAsia="Arial" w:hAnsi="Arial"/>
          <w:i/>
          <w:iCs/>
          <w:sz w:val="22"/>
          <w:szCs w:val="22"/>
        </w:rPr>
        <w:t xml:space="preserve">"The technology parameters β are constant across time and common within an industry group"</w:t>
      </w:r>
      <w:r>
        <w:rPr>
          <w:rFonts w:ascii="Arial" w:cs="Arial" w:eastAsia="Arial" w:hAnsi="Arial"/>
          <w:sz w:val="22"/>
          <w:szCs w:val="22"/>
        </w:rPr>
        <w:t xml:space="preserve">, Assumption 3, YMH p. 2108). They use both annual ASM data and quinquennial CM data. The requirement for sufficient within-sector observations directly parallels the standard GMM rank condition: the instrument vector </w:t>
      </w:r>
      <w:r>
        <w:rPr>
          <w:rFonts w:ascii="Arial" w:cs="Arial" w:eastAsia="Arial" w:hAnsi="Arial"/>
          <w:b/>
          <w:bCs/>
          <w:sz w:val="22"/>
          <w:szCs w:val="22"/>
        </w:rPr>
        <w:t xml:space="preserve">z</w:t>
      </w:r>
      <w:r>
        <w:rPr>
          <w:rFonts w:ascii="Arial" w:cs="Arial" w:eastAsia="Arial" w:hAnsi="Arial"/>
          <w:i/>
          <w:iCs/>
          <w:sz w:val="22"/>
          <w:szCs w:val="22"/>
        </w:rPr>
        <w:t xml:space="preserve">it</w:t>
      </w:r>
      <w:r>
        <w:rPr>
          <w:rFonts w:ascii="Arial" w:cs="Arial" w:eastAsia="Arial" w:hAnsi="Arial"/>
          <w:sz w:val="22"/>
          <w:szCs w:val="22"/>
        </w:rPr>
        <w:t xml:space="preserve"> must be informative for the production function coefficients, which requires adequate time-series and cross-sectional variation.</w:t>
      </w:r>
    </w:p>
    <w:p>
      <w:pPr>
        <w:spacing w:after="60" w:before="60"/>
      </w:pPr>
      <w:r>
        <w:t xml:space="preserve"/>
      </w:r>
    </w:p>
    <w:p>
      <w:pPr>
        <w:spacing w:after="80" w:before="80" w:line="276"/>
      </w:pPr>
      <w:r>
        <w:rPr>
          <w:rFonts w:ascii="Arial" w:cs="Arial" w:eastAsia="Arial" w:hAnsi="Arial"/>
          <w:sz w:val="22"/>
          <w:szCs w:val="22"/>
        </w:rPr>
        <w:t xml:space="preserve">Gandhi, Navarro, and Rivers (2020), cited by YMH, formalise that </w:t>
      </w:r>
      <w:r>
        <w:rPr>
          <w:rFonts w:ascii="Arial" w:cs="Arial" w:eastAsia="Arial" w:hAnsi="Arial"/>
          <w:i/>
          <w:iCs/>
          <w:sz w:val="22"/>
          <w:szCs w:val="22"/>
        </w:rPr>
        <w:t xml:space="preserve">"time-series variation in the prices for material inputs — our flexible input — is critical for identification"</w:t>
      </w:r>
      <w:r>
        <w:rPr>
          <w:rFonts w:ascii="Arial" w:cs="Arial" w:eastAsia="Arial" w:hAnsi="Arial"/>
          <w:sz w:val="22"/>
          <w:szCs w:val="22"/>
        </w:rPr>
        <w:t xml:space="preserve"> (YMH p. 2111). Sectors with too few observations in any year cannot generate this variation reliably.</w:t>
      </w:r>
    </w:p>
    <w:p>
      <w:pPr>
        <w:pBdr>
          <w:bottom w:val="single" w:color="2E74B5" w:sz="4" w:space="1"/>
        </w:pBdr>
        <w:spacing w:after="200" w:before="200"/>
      </w:pPr>
      <w:r>
        <w:t xml:space="preserve"/>
      </w:r>
    </w:p>
    <w:p>
      <w:pPr>
        <w:pStyle w:val="Heading1"/>
        <w:spacing w:after="180" w:before="360"/>
      </w:pPr>
      <w:r>
        <w:rPr>
          <w:rFonts w:ascii="Arial" w:cs="Arial" w:eastAsia="Arial" w:hAnsi="Arial"/>
          <w:b/>
          <w:bCs/>
          <w:color w:val="1F4E79"/>
          <w:sz w:val="32"/>
          <w:szCs w:val="32"/>
        </w:rPr>
        <w:t xml:space="preserve">6. Step 4 — Minimum Consecutive Years Threshold</w:t>
      </w:r>
    </w:p>
    <w:p>
      <w:pPr>
        <w:pStyle w:val="Heading2"/>
        <w:spacing w:after="120" w:before="280"/>
      </w:pPr>
      <w:r>
        <w:rPr>
          <w:rFonts w:ascii="Arial" w:cs="Arial" w:eastAsia="Arial" w:hAnsi="Arial"/>
          <w:b/>
          <w:bCs/>
          <w:color w:val="2E74B5"/>
          <w:sz w:val="26"/>
          <w:szCs w:val="26"/>
        </w:rPr>
        <w:t xml:space="preserve">6.1 Purpose</w:t>
      </w:r>
    </w:p>
    <w:p>
      <w:pPr>
        <w:spacing w:after="80" w:before="80" w:line="276"/>
      </w:pPr>
      <w:r>
        <w:rPr>
          <w:rFonts w:ascii="Arial" w:cs="Arial" w:eastAsia="Arial" w:hAnsi="Arial"/>
          <w:sz w:val="22"/>
          <w:szCs w:val="22"/>
        </w:rPr>
        <w:t xml:space="preserve">Even if a sector satisfies the minimum firm count in a given year, reliable production-function estimation with proxy-variable methods requires a reasonably long panel. The estimator uses lagged inputs as instruments (step 3 of the YMH three-step procedure), so sectors that appear only sporadically in the data cannot contribute valid moment conditions.</w:t>
      </w:r>
    </w:p>
    <w:p>
      <w:pPr>
        <w:pStyle w:val="Heading2"/>
        <w:spacing w:after="120" w:before="280"/>
      </w:pPr>
      <w:r>
        <w:rPr>
          <w:rFonts w:ascii="Arial" w:cs="Arial" w:eastAsia="Arial" w:hAnsi="Arial"/>
          <w:b/>
          <w:bCs/>
          <w:color w:val="2E74B5"/>
          <w:sz w:val="26"/>
          <w:szCs w:val="26"/>
        </w:rPr>
        <w:t xml:space="preserve">6.2 Rule</w:t>
      </w:r>
    </w:p>
    <w:p>
      <w:pPr>
        <w:spacing w:after="80" w:before="80" w:line="276"/>
      </w:pPr>
      <w:r>
        <w:rPr>
          <w:rFonts w:ascii="Arial" w:cs="Arial" w:eastAsia="Arial" w:hAnsi="Arial"/>
          <w:sz w:val="22"/>
          <w:szCs w:val="22"/>
        </w:rPr>
        <w:t xml:space="preserve">(Applied only when periodicity = 1 — i.e. annual data.)</w:t>
      </w:r>
    </w:p>
    <w:p>
      <w:pPr>
        <w:spacing w:after="60" w:before="60"/>
      </w:pPr>
      <w:r>
        <w:t xml:space="preserve"/>
      </w:r>
    </w:p>
    <w:p>
      <w:pPr>
        <w:spacing w:after="80" w:before="80" w:line="276"/>
      </w:pPr>
      <w:r>
        <w:rPr>
          <w:rFonts w:ascii="Arial" w:cs="Arial" w:eastAsia="Arial" w:hAnsi="Arial"/>
          <w:sz w:val="22"/>
          <w:szCs w:val="22"/>
        </w:rPr>
        <w:t xml:space="preserve">For each sector, the algorithm:</w:t>
      </w:r>
    </w:p>
    <w:p>
      <w:pPr>
        <w:pStyle w:val="ListParagraph"/>
        <w:numPr>
          <w:ilvl w:val="0"/>
          <w:numId w:val="2"/>
        </w:numPr>
        <w:spacing w:after="60" w:before="60" w:line="276"/>
      </w:pPr>
      <w:r>
        <w:rPr>
          <w:rFonts w:ascii="Arial" w:cs="Arial" w:eastAsia="Arial" w:hAnsi="Arial"/>
          <w:sz w:val="22"/>
          <w:szCs w:val="22"/>
        </w:rPr>
        <w:t xml:space="preserve">Counts firm observations in each year and checks whether the count meets min_firms.</w:t>
      </w:r>
    </w:p>
    <w:p>
      <w:pPr>
        <w:pStyle w:val="ListParagraph"/>
        <w:numPr>
          <w:ilvl w:val="0"/>
          <w:numId w:val="2"/>
        </w:numPr>
        <w:spacing w:after="60" w:before="60" w:line="276"/>
      </w:pPr>
      <w:r>
        <w:rPr>
          <w:rFonts w:ascii="Arial" w:cs="Arial" w:eastAsia="Arial" w:hAnsi="Arial"/>
          <w:sz w:val="22"/>
          <w:szCs w:val="22"/>
        </w:rPr>
        <w:t xml:space="preserve">Identifies all runs of consecutive years in which the threshold is met.</w:t>
      </w:r>
    </w:p>
    <w:p>
      <w:pPr>
        <w:pStyle w:val="ListParagraph"/>
        <w:numPr>
          <w:ilvl w:val="0"/>
          <w:numId w:val="2"/>
        </w:numPr>
        <w:spacing w:after="60" w:before="60" w:line="276"/>
      </w:pPr>
      <w:r>
        <w:rPr>
          <w:rFonts w:ascii="Arial" w:cs="Arial" w:eastAsia="Arial" w:hAnsi="Arial"/>
          <w:sz w:val="22"/>
          <w:szCs w:val="22"/>
        </w:rPr>
        <w:t xml:space="preserve">Records the length of the longest such run (max_consec_years).</w:t>
      </w:r>
    </w:p>
    <w:p>
      <w:pPr>
        <w:pStyle w:val="ListParagraph"/>
        <w:numPr>
          <w:ilvl w:val="0"/>
          <w:numId w:val="2"/>
        </w:numPr>
        <w:spacing w:after="60" w:before="60" w:line="276"/>
      </w:pPr>
      <w:r>
        <w:rPr>
          <w:rFonts w:ascii="Arial" w:cs="Arial" w:eastAsia="Arial" w:hAnsi="Arial"/>
          <w:sz w:val="22"/>
          <w:szCs w:val="22"/>
        </w:rPr>
        <w:t xml:space="preserve">Drops the entire sector if max_consec_years &lt; min_consecutive_years.</w:t>
      </w:r>
    </w:p>
    <w:p>
      <w:pPr>
        <w:spacing w:after="60" w:before="60"/>
      </w:pPr>
      <w:r>
        <w:t xml:space="preserve"/>
      </w:r>
    </w:p>
    <w:p>
      <w:pPr>
        <w:spacing w:after="80" w:before="80" w:line="276"/>
      </w:pPr>
      <w:r>
        <w:rPr>
          <w:rFonts w:ascii="Arial" w:cs="Arial" w:eastAsia="Arial" w:hAnsi="Arial"/>
          <w:sz w:val="22"/>
          <w:szCs w:val="22"/>
        </w:rPr>
        <w:t xml:space="preserve">Because the rule examines the longest unbroken run rather than total qualifying years, a sector that meets the threshold for many years but with a gap in the middle is evaluated on its longest contiguous spell. This is conservative: it ensures that the panel used for estimation is truly continuous.</w:t>
      </w:r>
    </w:p>
    <w:p>
      <w:pPr>
        <w:pStyle w:val="Heading2"/>
        <w:spacing w:after="120" w:before="280"/>
      </w:pPr>
      <w:r>
        <w:rPr>
          <w:rFonts w:ascii="Arial" w:cs="Arial" w:eastAsia="Arial" w:hAnsi="Arial"/>
          <w:b/>
          <w:bCs/>
          <w:color w:val="2E74B5"/>
          <w:sz w:val="26"/>
          <w:szCs w:val="26"/>
        </w:rPr>
        <w:t xml:space="preserve">6.3 Link to YMH</w:t>
      </w:r>
    </w:p>
    <w:p>
      <w:pPr>
        <w:spacing w:after="80" w:before="80" w:line="276"/>
      </w:pPr>
      <w:r>
        <w:rPr>
          <w:rFonts w:ascii="Arial" w:cs="Arial" w:eastAsia="Arial" w:hAnsi="Arial"/>
          <w:sz w:val="22"/>
          <w:szCs w:val="22"/>
        </w:rPr>
        <w:t xml:space="preserve">YMH explicitly motivate the need for long panels: </w:t>
      </w:r>
      <w:r>
        <w:rPr>
          <w:rFonts w:ascii="Arial" w:cs="Arial" w:eastAsia="Arial" w:hAnsi="Arial"/>
          <w:i/>
          <w:iCs/>
          <w:sz w:val="22"/>
          <w:szCs w:val="22"/>
        </w:rPr>
        <w:t xml:space="preserve">"For consistent estimates, we further require reasonably long panel data (Pesaran and Smith 1995; Gandhi, Navarro, and Rivers 2020; Bond et al. 2021)"</w:t>
      </w:r>
      <w:r>
        <w:rPr>
          <w:rFonts w:ascii="Arial" w:cs="Arial" w:eastAsia="Arial" w:hAnsi="Arial"/>
          <w:sz w:val="22"/>
          <w:szCs w:val="22"/>
        </w:rPr>
        <w:t xml:space="preserve"> (YMH p. 2111). Their baseline sample spans 1976–2014 (ASM) and 1977–2012 (CM, quinquennial), providing ample time variation. The consecutive-year filter operationalises this requirement at the sector level, ensuring that each sector entering the estimator has an adequately long uninterrupted panel.</w:t>
      </w:r>
    </w:p>
    <w:p>
      <w:pPr>
        <w:spacing w:after="60" w:before="60"/>
      </w:pPr>
      <w:r>
        <w:t xml:space="preserve"/>
      </w:r>
    </w:p>
    <w:p>
      <w:pPr>
        <w:spacing w:after="80" w:before="80" w:line="276"/>
      </w:pPr>
      <w:r>
        <w:rPr>
          <w:rFonts w:ascii="Arial" w:cs="Arial" w:eastAsia="Arial" w:hAnsi="Arial"/>
          <w:sz w:val="22"/>
          <w:szCs w:val="22"/>
        </w:rPr>
        <w:t xml:space="preserve">YMH also note that production function parameters are identified via </w:t>
      </w:r>
      <w:r>
        <w:rPr>
          <w:rFonts w:ascii="Arial" w:cs="Arial" w:eastAsia="Arial" w:hAnsi="Arial"/>
          <w:i/>
          <w:iCs/>
          <w:sz w:val="22"/>
          <w:szCs w:val="22"/>
        </w:rPr>
        <w:t xml:space="preserve">"time-series variation in the prices for material inputs"</w:t>
      </w:r>
      <w:r>
        <w:rPr>
          <w:rFonts w:ascii="Arial" w:cs="Arial" w:eastAsia="Arial" w:hAnsi="Arial"/>
          <w:sz w:val="22"/>
          <w:szCs w:val="22"/>
        </w:rPr>
        <w:t xml:space="preserve">. A sector with only a short or fragmented time series cannot contribute reliable identification.</w:t>
      </w:r>
    </w:p>
    <w:p>
      <w:pPr>
        <w:pBdr>
          <w:bottom w:val="single" w:color="2E74B5" w:sz="4" w:space="1"/>
        </w:pBdr>
        <w:spacing w:after="200" w:before="200"/>
      </w:pPr>
      <w:r>
        <w:t xml:space="preserve"/>
      </w:r>
    </w:p>
    <w:p>
      <w:pPr>
        <w:pStyle w:val="Heading1"/>
        <w:spacing w:after="180" w:before="360"/>
      </w:pPr>
      <w:r>
        <w:rPr>
          <w:rFonts w:ascii="Arial" w:cs="Arial" w:eastAsia="Arial" w:hAnsi="Arial"/>
          <w:b/>
          <w:bCs/>
          <w:color w:val="1F4E79"/>
          <w:sz w:val="32"/>
          <w:szCs w:val="32"/>
        </w:rPr>
        <w:t xml:space="preserve">7. Parameter Summary</w:t>
      </w:r>
    </w:p>
    <w:p>
      <w:pPr>
        <w:spacing w:after="80" w:before="80" w:line="276"/>
      </w:pPr>
      <w:r>
        <w:rPr>
          <w:rFonts w:ascii="Arial" w:cs="Arial" w:eastAsia="Arial" w:hAnsi="Arial"/>
          <w:sz w:val="22"/>
          <w:szCs w:val="22"/>
        </w:rPr>
        <w:t xml:space="preserve">The table below lists every tunable parameter used across the four cleaning steps, its role, and a suggested default value motivated by the literature.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4300"/>
        <w:gridCol w:w="22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43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2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Typical Value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do_winsor_rawvars</w:t>
            </w:r>
          </w:p>
        </w:tc>
        <w:tc>
          <w:tcPr>
            <w:tcW w:type="dxa" w:w="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1</w:t>
            </w:r>
          </w:p>
        </w:tc>
        <w:tc>
          <w:tcPr>
            <w:tcW w:type="dxa" w:w="43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Selects winsorisation mode: 1 = trim (drop); 2 = clamp</w:t>
            </w:r>
          </w:p>
        </w:tc>
        <w:tc>
          <w:tcPr>
            <w:tcW w:type="dxa" w:w="22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rawvars_low</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Lower percentile cut for winsorisation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rawvars_upp</w:t>
            </w:r>
          </w:p>
        </w:tc>
        <w:tc>
          <w:tcPr>
            <w:tcW w:type="dxa" w:w="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1</w:t>
            </w:r>
          </w:p>
        </w:tc>
        <w:tc>
          <w:tcPr>
            <w:tcW w:type="dxa" w:w="43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Upper percentile cut for winsorisation</w:t>
            </w:r>
          </w:p>
        </w:tc>
        <w:tc>
          <w:tcPr>
            <w:tcW w:type="dxa" w:w="22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99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do_Yehetal_m_l_tc</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Activates the cost-share median filter: 1 = yes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m_tc_cut</w:t>
            </w:r>
          </w:p>
        </w:tc>
        <w:tc>
          <w:tcPr>
            <w:tcW w:type="dxa" w:w="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2</w:t>
            </w:r>
          </w:p>
        </w:tc>
        <w:tc>
          <w:tcPr>
            <w:tcW w:type="dxa" w:w="43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Fraction of sector-year median below which m_tc plants are dropped</w:t>
            </w:r>
          </w:p>
        </w:tc>
        <w:tc>
          <w:tcPr>
            <w:tcW w:type="dxa" w:w="22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0.25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l_tc_cut</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Fraction of sector-year median below which l_tc plants are dropped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0.25</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min_firms</w:t>
            </w:r>
          </w:p>
        </w:tc>
        <w:tc>
          <w:tcPr>
            <w:tcW w:type="dxa" w:w="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3 &amp; 4</w:t>
            </w:r>
          </w:p>
        </w:tc>
        <w:tc>
          <w:tcPr>
            <w:tcW w:type="dxa" w:w="43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Minimum plant observations required in a sector-year cell</w:t>
            </w:r>
          </w:p>
        </w:tc>
        <w:tc>
          <w:tcPr>
            <w:tcW w:type="dxa" w:w="22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periodicity</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&amp; 4</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frequency: 1 = annual; other = quinquennial / other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min_consecutive_years</w:t>
            </w:r>
          </w:p>
        </w:tc>
        <w:tc>
          <w:tcPr>
            <w:tcW w:type="dxa" w:w="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4</w:t>
            </w:r>
          </w:p>
        </w:tc>
        <w:tc>
          <w:tcPr>
            <w:tcW w:type="dxa" w:w="43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Minimum length of unbroken qualifying run required to retain a sector</w:t>
            </w:r>
          </w:p>
        </w:tc>
        <w:tc>
          <w:tcPr>
            <w:tcW w:type="dxa" w:w="22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tcPr>
          <w:p>
            <w:r>
              <w:rPr>
                <w:rFonts w:ascii="Arial" w:cs="Arial" w:eastAsia="Arial" w:hAnsi="Arial"/>
                <w:sz w:val="20"/>
                <w:szCs w:val="20"/>
              </w:rPr>
              <w:t xml:space="preserve">5</w:t>
            </w:r>
          </w:p>
        </w:tc>
      </w:tr>
    </w:tbl>
    <w:p>
      <w:pPr>
        <w:pBdr>
          <w:bottom w:val="single" w:color="2E74B5" w:sz="4" w:space="1"/>
        </w:pBdr>
        <w:spacing w:after="200" w:before="200"/>
      </w:pPr>
      <w:r>
        <w:t xml:space="preserve"/>
      </w:r>
    </w:p>
    <w:p>
      <w:pPr>
        <w:pStyle w:val="Heading1"/>
        <w:spacing w:after="180" w:before="360"/>
      </w:pPr>
      <w:r>
        <w:rPr>
          <w:rFonts w:ascii="Arial" w:cs="Arial" w:eastAsia="Arial" w:hAnsi="Arial"/>
          <w:b/>
          <w:bCs/>
          <w:color w:val="1F4E79"/>
          <w:sz w:val="32"/>
          <w:szCs w:val="32"/>
        </w:rPr>
        <w:t xml:space="preserve">8. Implementation Notes</w:t>
      </w:r>
    </w:p>
    <w:p>
      <w:pPr>
        <w:pStyle w:val="Heading2"/>
        <w:spacing w:after="120" w:before="280"/>
      </w:pPr>
      <w:r>
        <w:rPr>
          <w:rFonts w:ascii="Arial" w:cs="Arial" w:eastAsia="Arial" w:hAnsi="Arial"/>
          <w:b/>
          <w:bCs/>
          <w:color w:val="2E74B5"/>
          <w:sz w:val="26"/>
          <w:szCs w:val="26"/>
        </w:rPr>
        <w:t xml:space="preserve">8.1 Order of Application</w:t>
      </w:r>
    </w:p>
    <w:p>
      <w:pPr>
        <w:spacing w:after="80" w:before="80" w:line="276"/>
      </w:pPr>
      <w:r>
        <w:rPr>
          <w:rFonts w:ascii="Arial" w:cs="Arial" w:eastAsia="Arial" w:hAnsi="Arial"/>
          <w:sz w:val="22"/>
          <w:szCs w:val="22"/>
        </w:rPr>
        <w:t xml:space="preserve">The filters must be applied in the sequence described (Steps 1–4). In particular, cost shares in Step 2 should be computed on the winsorised variables from Step 1, and the consecutive-year filter in Step 4 relies on the post-Step 3 counts.</w:t>
      </w:r>
    </w:p>
    <w:p>
      <w:pPr>
        <w:pStyle w:val="Heading2"/>
        <w:spacing w:after="120" w:before="280"/>
      </w:pPr>
      <w:r>
        <w:rPr>
          <w:rFonts w:ascii="Arial" w:cs="Arial" w:eastAsia="Arial" w:hAnsi="Arial"/>
          <w:b/>
          <w:bCs/>
          <w:color w:val="2E74B5"/>
          <w:sz w:val="26"/>
          <w:szCs w:val="26"/>
        </w:rPr>
        <w:t xml:space="preserve">8.2 Sector Definition</w:t>
      </w:r>
    </w:p>
    <w:p>
      <w:pPr>
        <w:spacing w:after="80" w:before="80" w:line="276"/>
      </w:pPr>
      <w:r>
        <w:rPr>
          <w:rFonts w:ascii="Arial" w:cs="Arial" w:eastAsia="Arial" w:hAnsi="Arial"/>
          <w:sz w:val="22"/>
          <w:szCs w:val="22"/>
        </w:rPr>
        <w:t xml:space="preserve">All group-level operations (medians in Step 2, counts in Steps 3–4) are performed within sector × year cells. The sector variable (sector_var in R, sector`sector' in Stata) should correspond to the three-digit NAICS industry classification used by YMH.</w:t>
      </w:r>
    </w:p>
    <w:p>
      <w:pPr>
        <w:pStyle w:val="Heading2"/>
        <w:spacing w:after="120" w:before="280"/>
      </w:pPr>
      <w:r>
        <w:rPr>
          <w:rFonts w:ascii="Arial" w:cs="Arial" w:eastAsia="Arial" w:hAnsi="Arial"/>
          <w:b/>
          <w:bCs/>
          <w:color w:val="2E74B5"/>
          <w:sz w:val="26"/>
          <w:szCs w:val="26"/>
        </w:rPr>
        <w:t xml:space="preserve">8.3 Auxiliary Variables</w:t>
      </w:r>
    </w:p>
    <w:p>
      <w:pPr>
        <w:spacing w:after="80" w:before="80" w:line="276"/>
      </w:pPr>
      <w:r>
        <w:rPr>
          <w:rFonts w:ascii="Arial" w:cs="Arial" w:eastAsia="Arial" w:hAnsi="Arial"/>
          <w:sz w:val="22"/>
          <w:szCs w:val="22"/>
        </w:rPr>
        <w:t xml:space="preserve">Intermediate variables created during Step 2 (TC, l_tc, m_tc, sector-year medians) are auxiliary and are dropped after the filter is applied. They should not appear in the estimation dataset.</w:t>
      </w:r>
    </w:p>
    <w:p>
      <w:pPr>
        <w:pStyle w:val="Heading2"/>
        <w:spacing w:after="120" w:before="280"/>
      </w:pPr>
      <w:r>
        <w:rPr>
          <w:rFonts w:ascii="Arial" w:cs="Arial" w:eastAsia="Arial" w:hAnsi="Arial"/>
          <w:b/>
          <w:bCs/>
          <w:color w:val="2E74B5"/>
          <w:sz w:val="26"/>
          <w:szCs w:val="26"/>
        </w:rPr>
        <w:t xml:space="preserve">8.4 Diagnostic Outputs</w:t>
      </w:r>
    </w:p>
    <w:p>
      <w:pPr>
        <w:spacing w:after="80" w:before="80" w:line="276"/>
      </w:pPr>
      <w:r>
        <w:rPr>
          <w:rFonts w:ascii="Arial" w:cs="Arial" w:eastAsia="Arial" w:hAnsi="Arial"/>
          <w:sz w:val="22"/>
          <w:szCs w:val="22"/>
        </w:rPr>
        <w:t xml:space="preserve">After each step, the analyst should tabulate the remaining sector × year cell counts and the number of distinct sectors. This mirrors the tab and distinct commands in the original Stata code and allows verification that the sample size evolves as expected at each stage.</w:t>
      </w:r>
    </w:p>
    <w:p>
      <w:pPr>
        <w:pBdr>
          <w:bottom w:val="single" w:color="2E74B5" w:sz="4" w:space="1"/>
        </w:pBdr>
        <w:spacing w:after="200" w:before="200"/>
      </w:pPr>
      <w:r>
        <w:t xml:space="preserve"/>
      </w:r>
    </w:p>
    <w:p>
      <w:pPr>
        <w:pStyle w:val="Heading1"/>
        <w:spacing w:after="180" w:before="360"/>
      </w:pPr>
      <w:r>
        <w:rPr>
          <w:rFonts w:ascii="Arial" w:cs="Arial" w:eastAsia="Arial" w:hAnsi="Arial"/>
          <w:b/>
          <w:bCs/>
          <w:color w:val="1F4E79"/>
          <w:sz w:val="32"/>
          <w:szCs w:val="32"/>
        </w:rPr>
        <w:t xml:space="preserve">9. Reference</w:t>
      </w:r>
    </w:p>
    <w:p>
      <w:pPr>
        <w:spacing w:after="60" w:before="60"/>
      </w:pPr>
      <w:r>
        <w:t xml:space="preserve"/>
      </w:r>
    </w:p>
    <w:p>
      <w:pPr>
        <w:spacing w:after="80" w:before="80" w:line="276"/>
        <w:ind w:left="720" w:hanging="720"/>
      </w:pPr>
      <w:r>
        <w:rPr>
          <w:rFonts w:ascii="Arial" w:cs="Arial" w:eastAsia="Arial" w:hAnsi="Arial"/>
          <w:sz w:val="22"/>
          <w:szCs w:val="22"/>
        </w:rPr>
        <w:t xml:space="preserve">Yeh, C., Macaluso, C., &amp; Hershbein, B. (2022). Monopsony in the US Labor Market. </w:t>
      </w:r>
      <w:r>
        <w:rPr>
          <w:rFonts w:ascii="Arial" w:cs="Arial" w:eastAsia="Arial" w:hAnsi="Arial"/>
          <w:i/>
          <w:iCs/>
          <w:sz w:val="22"/>
          <w:szCs w:val="22"/>
        </w:rPr>
        <w:t xml:space="preserve">American Economic Review</w:t>
      </w:r>
      <w:r>
        <w:rPr>
          <w:rFonts w:ascii="Arial" w:cs="Arial" w:eastAsia="Arial" w:hAnsi="Arial"/>
          <w:sz w:val="22"/>
          <w:szCs w:val="22"/>
        </w:rPr>
        <w:t xml:space="preserve">, 112(7), 2099–2138. https://doi.org/10.1257/aer.20200025</w:t>
      </w:r>
    </w:p>
    <w:p>
      <w:pPr>
        <w:spacing w:after="60" w:before="60"/>
      </w:pPr>
      <w:r>
        <w:t xml:space="preserve"/>
      </w:r>
    </w:p>
    <w:p>
      <w:pPr>
        <w:spacing w:after="80" w:before="80" w:line="276"/>
      </w:pPr>
      <w:r>
        <w:rPr>
          <w:rFonts w:ascii="Arial" w:cs="Arial" w:eastAsia="Arial" w:hAnsi="Arial"/>
          <w:sz w:val="22"/>
          <w:szCs w:val="22"/>
        </w:rPr>
        <w:t xml:space="preserve">Supporting references cited by YMH and relevant to the cleaning steps:</w:t>
      </w:r>
    </w:p>
    <w:p>
      <w:pPr>
        <w:spacing w:after="60" w:before="60"/>
      </w:pPr>
      <w:r>
        <w:t xml:space="preserve"/>
      </w:r>
    </w:p>
    <w:p>
      <w:pPr>
        <w:spacing w:after="60" w:before="60" w:line="276"/>
        <w:ind w:left="720" w:hanging="720"/>
      </w:pPr>
      <w:r>
        <w:rPr>
          <w:rFonts w:ascii="Arial" w:cs="Arial" w:eastAsia="Arial" w:hAnsi="Arial"/>
          <w:sz w:val="22"/>
          <w:szCs w:val="22"/>
        </w:rPr>
        <w:t xml:space="preserve">Ackerberg, D., Caves, K., &amp; Frazer, G. (2015). Identification Properties of Recent Production Function Estimators. Econometrica, 83(6), 2411–2451.</w:t>
      </w:r>
    </w:p>
    <w:p>
      <w:pPr>
        <w:spacing w:after="60" w:before="60" w:line="276"/>
        <w:ind w:left="720" w:hanging="720"/>
      </w:pPr>
      <w:r>
        <w:rPr>
          <w:rFonts w:ascii="Arial" w:cs="Arial" w:eastAsia="Arial" w:hAnsi="Arial"/>
          <w:sz w:val="22"/>
          <w:szCs w:val="22"/>
        </w:rPr>
        <w:t xml:space="preserve">Atalay, E. (2014). Materials Prices and Productivity. Journal of the European Economic Association, 12(3), 575–611.</w:t>
      </w:r>
    </w:p>
    <w:p>
      <w:pPr>
        <w:spacing w:after="60" w:before="60" w:line="276"/>
        <w:ind w:left="720" w:hanging="720"/>
      </w:pPr>
      <w:r>
        <w:rPr>
          <w:rFonts w:ascii="Arial" w:cs="Arial" w:eastAsia="Arial" w:hAnsi="Arial"/>
          <w:sz w:val="22"/>
          <w:szCs w:val="22"/>
        </w:rPr>
        <w:t xml:space="preserve">Gandhi, A., Navarro, S., &amp; Rivers, D. A. (2020). On the Identification of Gross Output Production Functions. Journal of Political Economy, 128(8), 2973–3016.</w:t>
      </w:r>
    </w:p>
    <w:p>
      <w:pPr>
        <w:spacing w:after="60" w:before="60" w:line="276"/>
        <w:ind w:left="720" w:hanging="720"/>
      </w:pPr>
      <w:r>
        <w:rPr>
          <w:rFonts w:ascii="Arial" w:cs="Arial" w:eastAsia="Arial" w:hAnsi="Arial"/>
          <w:sz w:val="22"/>
          <w:szCs w:val="22"/>
        </w:rPr>
        <w:t xml:space="preserve">Syverson, C. (2004). Market Structure and Productivity: A Concrete Example. Journal of Political Economy, 112(6), 1181–1222.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Data Cleaning Documentation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2026-04-08T18:53:10.295Z</dcterms:created>
  <dcterms:modified xsi:type="dcterms:W3CDTF">2026-04-08T18:53:10.296Z</dcterms:modified>
</cp:coreProperties>
</file>

<file path=docProps/custom.xml><?xml version="1.0" encoding="utf-8"?>
<Properties xmlns="http://schemas.openxmlformats.org/officeDocument/2006/custom-properties" xmlns:vt="http://schemas.openxmlformats.org/officeDocument/2006/docPropsVTypes"/>
</file>