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400"/>
          <w:szCs w:val="400"/>
        </w:rPr>
        <w:t xml:space="preserve"/>
      </w:r>
    </w:p>
    <w:p>
      <w:pPr>
        <w:spacing w:before="0" w:after="0"/>
        <w:jc w:val="center"/>
      </w:pPr>
      <w:r>
        <w:rPr>
          <w:rFonts w:ascii="Arial" w:cs="Arial" w:eastAsia="Arial" w:hAnsi="Arial"/>
          <w:b/>
          <w:bCs/>
          <w:color w:val="2E75B6"/>
          <w:sz w:val="24"/>
          <w:szCs w:val="24"/>
        </w:rPr>
        <w:t xml:space="preserve">TECHNICAL DOCUMENTATION</w:t>
      </w:r>
    </w:p>
    <w:p>
      <w:pPr>
        <w:spacing w:before="0" w:after="0"/>
      </w:pPr>
      <w:r>
        <w:rPr>
          <w:rFonts w:ascii="Arial" w:cs="Arial" w:eastAsia="Arial" w:hAnsi="Arial"/>
          <w:sz w:val="200"/>
          <w:szCs w:val="200"/>
        </w:rPr>
        <w:t xml:space="preserve"/>
      </w:r>
    </w:p>
    <w:p>
      <w:pPr>
        <w:spacing w:before="0" w:after="120"/>
        <w:jc w:val="center"/>
      </w:pPr>
      <w:r>
        <w:rPr>
          <w:rFonts w:ascii="Arial" w:cs="Arial" w:eastAsia="Arial" w:hAnsi="Arial"/>
          <w:b/>
          <w:bCs/>
          <w:color w:val="1F3864"/>
          <w:sz w:val="52"/>
          <w:szCs w:val="52"/>
        </w:rPr>
        <w:t xml:space="preserve">Production Function Estimation,</w:t>
      </w:r>
    </w:p>
    <w:p>
      <w:pPr>
        <w:spacing w:before="0" w:after="120"/>
        <w:jc w:val="center"/>
      </w:pPr>
      <w:r>
        <w:rPr>
          <w:rFonts w:ascii="Arial" w:cs="Arial" w:eastAsia="Arial" w:hAnsi="Arial"/>
          <w:b/>
          <w:bCs/>
          <w:color w:val="1F3864"/>
          <w:sz w:val="52"/>
          <w:szCs w:val="52"/>
        </w:rPr>
        <w:t xml:space="preserve">Markup &amp; Markdown Computation</w:t>
      </w:r>
    </w:p>
    <w:p>
      <w:pPr>
        <w:spacing w:before="0" w:after="0"/>
      </w:pPr>
      <w:r>
        <w:rPr>
          <w:rFonts w:ascii="Arial" w:cs="Arial" w:eastAsia="Arial" w:hAnsi="Arial"/>
          <w:sz w:val="200"/>
          <w:szCs w:val="200"/>
        </w:rPr>
        <w:t xml:space="preserve"/>
      </w:r>
    </w:p>
    <w:p>
      <w:pPr>
        <w:pBdr>
          <w:bottom w:val="single" w:color="2E75B6" w:sz="8" w:space="4"/>
        </w:pBdr>
        <w:spacing w:before="0" w:after="80"/>
        <w:jc w:val="center"/>
      </w:pPr>
      <w:r>
        <w:rPr>
          <w:rFonts w:ascii="Arial" w:cs="Arial" w:eastAsia="Arial" w:hAnsi="Arial"/>
          <w:i/>
          <w:iCs/>
          <w:color w:val="2E75B6"/>
          <w:sz w:val="26"/>
          <w:szCs w:val="26"/>
        </w:rPr>
        <w:t xml:space="preserve">De Loecker–Warzynski Translog GMM with ACF Fallback</w:t>
      </w:r>
    </w:p>
    <w:p>
      <w:pPr>
        <w:spacing w:before="0" w:after="0"/>
      </w:pPr>
      <w:r>
        <w:rPr>
          <w:rFonts w:ascii="Arial" w:cs="Arial" w:eastAsia="Arial" w:hAnsi="Arial"/>
          <w:sz w:val="300"/>
          <w:szCs w:val="300"/>
        </w:rPr>
        <w:t xml:space="preserve"/>
      </w:r>
    </w:p>
    <w:p>
      <w:pPr>
        <w:spacing w:before="0" w:after="80"/>
        <w:jc w:val="center"/>
      </w:pPr>
      <w:r>
        <w:rPr>
          <w:rFonts w:ascii="Arial" w:cs="Arial" w:eastAsia="Arial" w:hAnsi="Arial"/>
          <w:color w:val="595959"/>
          <w:sz w:val="24"/>
          <w:szCs w:val="24"/>
        </w:rPr>
        <w:t xml:space="preserve">Colombia Manufacturing Survey (EAM)</w:t>
      </w:r>
    </w:p>
    <w:p>
      <w:pPr>
        <w:spacing w:before="0" w:after="0"/>
      </w:pPr>
      <w:r>
        <w:rPr>
          <w:rFonts w:ascii="Arial" w:cs="Arial" w:eastAsia="Arial" w:hAnsi="Arial"/>
          <w:sz w:val="600"/>
          <w:szCs w:val="600"/>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4"/>
              <w:left w:val="single" w:color="2E75B6" w:sz="4"/>
              <w:bottom w:val="single" w:color="2E75B6" w:sz="4"/>
              <w:right w:val="single" w:color="2E75B6" w:sz="4"/>
            </w:tcBorders>
            <w:shd w:fill="D6E4F0" w:val="clear"/>
            <w:tcMar>
              <w:top w:type="dxa" w:w="160"/>
              <w:left w:type="dxa" w:w="240"/>
              <w:bottom w:type="dxa" w:w="160"/>
              <w:right w:type="dxa" w:w="240"/>
            </w:tcMar>
          </w:tcPr>
          <w:p>
            <w:pPr>
              <w:spacing w:before="0" w:after="60"/>
              <w:jc w:val="center"/>
            </w:pPr>
            <w:r>
              <w:rPr>
                <w:rFonts w:ascii="Arial" w:cs="Arial" w:eastAsia="Arial" w:hAnsi="Arial"/>
                <w:b/>
                <w:bCs/>
                <w:color w:val="1F3864"/>
                <w:sz w:val="20"/>
                <w:szCs w:val="20"/>
              </w:rPr>
              <w:t xml:space="preserve">Script:</w:t>
            </w:r>
            <w:r>
              <w:rPr>
                <w:rFonts w:ascii="Courier New" w:cs="Courier New" w:eastAsia="Courier New" w:hAnsi="Courier New"/>
                <w:color w:val="2E75B6"/>
                <w:sz w:val="20"/>
                <w:szCs w:val="20"/>
              </w:rPr>
              <w:t xml:space="preserve">  DLW_elasticities_markdowns.R</w:t>
            </w:r>
          </w:p>
          <w:p>
            <w:pPr>
              <w:spacing w:before="0" w:after="60"/>
              <w:jc w:val="center"/>
            </w:pPr>
            <w:r>
              <w:rPr>
                <w:rFonts w:ascii="Arial" w:cs="Arial" w:eastAsia="Arial" w:hAnsi="Arial"/>
                <w:b/>
                <w:bCs/>
                <w:color w:val="1F3864"/>
                <w:sz w:val="20"/>
                <w:szCs w:val="20"/>
              </w:rPr>
              <w:t xml:space="preserve">Language:</w:t>
            </w:r>
            <w:r>
              <w:rPr>
                <w:rFonts w:ascii="Arial" w:cs="Arial" w:eastAsia="Arial" w:hAnsi="Arial"/>
                <w:color w:val="404040"/>
                <w:sz w:val="20"/>
                <w:szCs w:val="20"/>
              </w:rPr>
              <w:t xml:space="preserve">  R</w:t>
            </w:r>
          </w:p>
          <w:p>
            <w:pPr>
              <w:spacing w:before="0" w:after="60"/>
              <w:jc w:val="center"/>
            </w:pPr>
            <w:r>
              <w:rPr>
                <w:rFonts w:ascii="Arial" w:cs="Arial" w:eastAsia="Arial" w:hAnsi="Arial"/>
                <w:b/>
                <w:bCs/>
                <w:color w:val="1F3864"/>
                <w:sz w:val="20"/>
                <w:szCs w:val="20"/>
              </w:rPr>
              <w:t xml:space="preserve">Country:</w:t>
            </w:r>
            <w:r>
              <w:rPr>
                <w:rFonts w:ascii="Arial" w:cs="Arial" w:eastAsia="Arial" w:hAnsi="Arial"/>
                <w:color w:val="404040"/>
                <w:sz w:val="20"/>
                <w:szCs w:val="20"/>
              </w:rPr>
              <w:t xml:space="preserve">  Colombia (COL)</w:t>
            </w:r>
          </w:p>
          <w:p>
            <w:pPr>
              <w:spacing w:before="0" w:after="0"/>
              <w:jc w:val="center"/>
            </w:pPr>
            <w:r>
              <w:rPr>
                <w:rFonts w:ascii="Arial" w:cs="Arial" w:eastAsia="Arial" w:hAnsi="Arial"/>
                <w:b/>
                <w:bCs/>
                <w:color w:val="1F3864"/>
                <w:sz w:val="20"/>
                <w:szCs w:val="20"/>
              </w:rPr>
              <w:t xml:space="preserve">Output:</w:t>
            </w:r>
            <w:r>
              <w:rPr>
                <w:rFonts w:ascii="Arial" w:cs="Arial" w:eastAsia="Arial" w:hAnsi="Arial"/>
                <w:color w:val="404040"/>
                <w:sz w:val="20"/>
                <w:szCs w:val="20"/>
              </w:rPr>
              <w:t xml:space="preserve">  work_EAM.parquet</w:t>
            </w:r>
          </w:p>
        </w:tc>
      </w:tr>
    </w:tbl>
    <w:p>
      <w:pPr>
        <w:spacing w:before="0" w:after="0"/>
      </w:pPr>
      <w:r>
        <w:rPr>
          <w:rFonts w:ascii="Arial" w:cs="Arial" w:eastAsia="Arial" w:hAnsi="Arial"/>
          <w:sz w:val="800"/>
          <w:szCs w:val="800"/>
        </w:rPr>
        <w:t xml:space="preserve"/>
      </w:r>
    </w:p>
    <w:p>
      <w:pPr>
        <w:spacing w:before="0" w:after="0"/>
        <w:jc w:val="center"/>
      </w:pPr>
      <w:r>
        <w:rPr>
          <w:rFonts w:ascii="Arial" w:cs="Arial" w:eastAsia="Arial" w:hAnsi="Arial"/>
          <w:i/>
          <w:iCs/>
          <w:color w:val="595959"/>
          <w:sz w:val="18"/>
          <w:szCs w:val="18"/>
        </w:rPr>
        <w:t xml:space="preserve">For internal research use. Refer all questions to the original author.</w:t>
      </w:r>
    </w:p>
    <w:p>
      <w:pPr>
        <w:sectPr>
          <w:pgSz w:w="12240" w:h="15840" w:orient="portrait"/>
          <w:pgMar w:top="1440" w:right="1440" w:bottom="1440" w:left="1440" w:header="708" w:footer="708" w:gutter="0"/>
          <w:pgNumType/>
          <w:docGrid w:linePitch="360"/>
        </w:sectPr>
      </w:pPr>
    </w:p>
    <w:p>
      <w:pPr>
        <w:pStyle w:val="Heading1"/>
        <w:pBdr>
          <w:bottom w:val="single" w:color="2E75B6" w:sz="6" w:space="6"/>
        </w:pBdr>
        <w:spacing w:before="360" w:after="180"/>
      </w:pPr>
      <w:r>
        <w:rPr>
          <w:rFonts w:ascii="Arial" w:cs="Arial" w:eastAsia="Arial" w:hAnsi="Arial"/>
          <w:b/>
          <w:bCs/>
          <w:color w:val="1F3864"/>
          <w:sz w:val="36"/>
          <w:szCs w:val="36"/>
        </w:rPr>
        <w:t xml:space="preserve">1. Overview and Purpose</w:t>
      </w:r>
    </w:p>
    <w:p>
      <w:pPr>
        <w:spacing w:before="80" w:after="80"/>
      </w:pPr>
      <w:r>
        <w:rPr>
          <w:rFonts w:ascii="Arial" w:cs="Arial" w:eastAsia="Arial" w:hAnsi="Arial"/>
          <w:color w:val="404040"/>
          <w:sz w:val="22"/>
          <w:szCs w:val="22"/>
        </w:rPr>
        <w:t xml:space="preserve">This script estimates output elasticities for capital (K), labour (L), and intermediate inputs (M) at the 4-digit ISIC sector level for Colombian manufacturing plants using the De Loecker &amp; Warzynski (2012) framework. It then uses those elasticities to compute firm-level markups and labour markdowns, and applies a structured imputation strategy to maximise coverage.</w:t>
      </w:r>
    </w:p>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The pipeline has two main stages:</w:t>
      </w:r>
    </w:p>
    <w:p>
      <w:pPr>
        <w:pStyle w:val="ListParagraph"/>
        <w:numPr>
          <w:ilvl w:val="0"/>
          <w:numId w:val="2"/>
        </w:numPr>
        <w:spacing w:before="40" w:after="40"/>
      </w:pPr>
      <w:r>
        <w:rPr>
          <w:rFonts w:ascii="Arial" w:cs="Arial" w:eastAsia="Arial" w:hAnsi="Arial"/>
          <w:color w:val="404040"/>
          <w:sz w:val="22"/>
          <w:szCs w:val="22"/>
        </w:rPr>
        <w:t xml:space="preserve">Stage 1 — Elasticity estimation: A two-tier GMM cascade estimates production-function elasticities sector by sector. Tier 1 uses a full translog specification (DLW). Tier 2 falls back to a simpler Cobb-Douglas (ACF) model for sectors where Tier 1 fails.</w:t>
      </w:r>
    </w:p>
    <w:p>
      <w:pPr>
        <w:pStyle w:val="ListParagraph"/>
        <w:numPr>
          <w:ilvl w:val="0"/>
          <w:numId w:val="2"/>
        </w:numPr>
        <w:spacing w:before="40" w:after="40"/>
      </w:pPr>
      <w:r>
        <w:rPr>
          <w:rFonts w:ascii="Arial" w:cs="Arial" w:eastAsia="Arial" w:hAnsi="Arial"/>
          <w:color w:val="404040"/>
          <w:sz w:val="22"/>
          <w:szCs w:val="22"/>
        </w:rPr>
        <w:t xml:space="preserve">Stage 2 — Markups and markdowns: The estimated elasticities are merged back with the raw survey data to compute output-to-input cost ratios, markups over marginal cost, and labour markdowns relative to the competitive wage.</w:t>
      </w:r>
    </w:p>
    <w:p>
      <w:pPr>
        <w:spacing w:before="0" w:after="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80"/>
              <w:bottom w:type="dxa" w:w="100"/>
              <w:right w:type="dxa" w:w="180"/>
            </w:tcMar>
          </w:tcPr>
          <w:p>
            <w:pPr>
              <w:spacing w:before="0" w:after="60"/>
            </w:pPr>
            <w:r>
              <w:rPr>
                <w:rFonts w:ascii="Arial" w:cs="Arial" w:eastAsia="Arial" w:hAnsi="Arial"/>
                <w:b/>
                <w:bCs/>
                <w:color w:val="2E75B6"/>
                <w:sz w:val="20"/>
                <w:szCs w:val="20"/>
              </w:rPr>
              <w:t xml:space="preserve">📌  NOTE</w:t>
            </w:r>
          </w:p>
          <w:p>
            <w:pPr>
              <w:spacing w:before="0" w:after="0"/>
            </w:pPr>
            <w:r>
              <w:rPr>
                <w:rFonts w:ascii="Arial" w:cs="Arial" w:eastAsia="Arial" w:hAnsi="Arial"/>
                <w:color w:val="404040"/>
                <w:sz w:val="20"/>
                <w:szCs w:val="20"/>
              </w:rPr>
              <w:t xml:space="preserve">TFP is estimated separately using the Levinsohn–Petrin methodology and is NOT computed in this script.</w:t>
            </w:r>
          </w:p>
        </w:tc>
      </w:tr>
    </w:tbl>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2. Package Dependencies</w:t>
      </w:r>
    </w:p>
    <w:p>
      <w:pPr>
        <w:spacing w:before="80" w:after="80"/>
      </w:pPr>
      <w:r>
        <w:rPr>
          <w:rFonts w:ascii="Arial" w:cs="Arial" w:eastAsia="Arial" w:hAnsi="Arial"/>
          <w:color w:val="404040"/>
          <w:sz w:val="22"/>
          <w:szCs w:val="22"/>
        </w:rPr>
        <w:t xml:space="preserve">All packages are loaded via pacman::p_load(), which installs missing packages automatically before loading.</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pacman::p_load(arrow, haven, tidyr, DescTools, optimx, MASS, dplyr)</w:t>
            </w:r>
          </w:p>
        </w:tc>
      </w:tr>
    </w:tbl>
    <w:p>
      <w:pPr>
        <w:spacing w:before="0" w:after="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in this script</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arrow</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Read and write .parquet files efficiently (read_parquet / write_parquet).</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haven</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Read Stata .dta files if the raw data are in that format.</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tidyr</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Data reshaping helpers used inside the pipeline (e.g. replace_na).</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DescTools</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Provides Winsorize() for trimming outliers in input variables.</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optimx</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Unified optimizer interface; runs Nelder-Mead and Rvmmin methods for GMM.</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MASS</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Provides ginv() (Moore-Penrose pseudoinverse) as a fallback when the Markov-projection matrix is near-singular.</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dplyr</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Loaded last so dplyr::select() cleanly masks MASS::select(), preventing conflicts.</w:t>
            </w:r>
          </w:p>
        </w:tc>
      </w:tr>
    </w:tbl>
    <w:p>
      <w:pPr>
        <w:spacing w:before="0" w:after="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4"/>
              <w:bottom w:val="single" w:color="7F6000" w:sz="4"/>
              <w:right w:val="single" w:color="7F6000" w:sz="4"/>
            </w:tcBorders>
            <w:shd w:fill="FFF2CC" w:val="clear"/>
            <w:tcMar>
              <w:top w:type="dxa" w:w="100"/>
              <w:left w:type="dxa" w:w="180"/>
              <w:bottom w:type="dxa" w:w="100"/>
              <w:right w:type="dxa" w:w="180"/>
            </w:tcMar>
          </w:tcPr>
          <w:p>
            <w:pPr>
              <w:spacing w:before="0" w:after="60"/>
            </w:pPr>
            <w:r>
              <w:rPr>
                <w:rFonts w:ascii="Arial" w:cs="Arial" w:eastAsia="Arial" w:hAnsi="Arial"/>
                <w:b/>
                <w:bCs/>
                <w:color w:val="7F6000"/>
                <w:sz w:val="20"/>
                <w:szCs w:val="20"/>
              </w:rPr>
              <w:t xml:space="preserve">⚠️  IMPORTANT</w:t>
            </w:r>
          </w:p>
          <w:p>
            <w:pPr>
              <w:spacing w:before="0" w:after="0"/>
            </w:pPr>
            <w:r>
              <w:rPr>
                <w:rFonts w:ascii="Arial" w:cs="Arial" w:eastAsia="Arial" w:hAnsi="Arial"/>
                <w:color w:val="404040"/>
                <w:sz w:val="20"/>
                <w:szCs w:val="20"/>
              </w:rPr>
              <w:t xml:space="preserve">Load order matters. dplyr must be the last package loaded so its select() takes precedence over MASS::select(). If you add packages after dplyr, explicitly qualify all select() calls with dplyr::select().</w:t>
            </w:r>
          </w:p>
        </w:tc>
      </w:tr>
    </w:tbl>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3. Section 0 — User Settings</w:t>
      </w:r>
    </w:p>
    <w:p>
      <w:pPr>
        <w:spacing w:before="80" w:after="80"/>
      </w:pPr>
      <w:r>
        <w:rPr>
          <w:rFonts w:ascii="Arial" w:cs="Arial" w:eastAsia="Arial" w:hAnsi="Arial"/>
          <w:color w:val="404040"/>
          <w:sz w:val="22"/>
          <w:szCs w:val="22"/>
        </w:rPr>
        <w:t xml:space="preserve">This section centralises every configuration decision so the script can be adapted to a new country or dataset by editing only this block.</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df &lt;- read_parquet("data/proc/EAM.parquet")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labor_input &lt;- "L"</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ID_col      &lt;- "id_firm"</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countryISO  &lt;- "COL"</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CountryName &lt;- "Country"</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rawvars_low &lt;- 0.01</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rawvars_upp &lt;- 0.99</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m_tc_cut    &lt;- 0.25</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l_tc_cut    &lt;- 0.25</w:t>
            </w:r>
          </w:p>
        </w:tc>
      </w:tr>
    </w:tbl>
    <w:p>
      <w:pPr>
        <w:spacing w:before="0" w:after="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labor_input</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Column name for the labour input variable (must be positive for the log transform to work).</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ID_col</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Column name uniquely identifying each firm across years (used for panel lags).</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countryISO</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ISO-3 country code; used for labelling outputs.</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CountryName</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Human-readable country name for output labels.</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rawvars_low</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Lower percentile bound for winsorization (1st percentile by default).</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rawvars_upp</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Upper percentile bound for winsorization (99th percentile by default).</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m_tc_cut</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Reserved threshold for intermediate input cost-share trimming (not yet applied in current version).</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l_tc_cut</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Reserved threshold for labour cost-share trimming (not yet applied in current version).</w:t>
            </w:r>
          </w:p>
        </w:tc>
      </w:tr>
    </w:tbl>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4. Section 0B — Winsorization</w:t>
      </w:r>
    </w:p>
    <w:p>
      <w:pPr>
        <w:spacing w:before="80" w:after="80"/>
      </w:pPr>
      <w:r>
        <w:rPr>
          <w:rFonts w:ascii="Arial" w:cs="Arial" w:eastAsia="Arial" w:hAnsi="Arial"/>
          <w:color w:val="404040"/>
          <w:sz w:val="22"/>
          <w:szCs w:val="22"/>
        </w:rPr>
        <w:t xml:space="preserve">Before any logarithms or polynomial terms are constructed, the four key input/output variables in levels are winsorized. This prevents extreme outliers from distorting the translog polynomial terms and inflating GMM objective functions.</w:t>
      </w:r>
    </w:p>
    <w:p>
      <w:pPr>
        <w:spacing w:before="0" w:after="0"/>
      </w:pPr>
      <w:r>
        <w:rPr>
          <w:rFonts w:ascii="Arial" w:cs="Arial" w:eastAsia="Arial" w:hAnsi="Arial"/>
          <w:sz w:val="80"/>
          <w:szCs w:val="80"/>
        </w:rPr>
        <w:t xml:space="preserve"/>
      </w:r>
    </w:p>
    <w:p>
      <w:pPr>
        <w:pStyle w:val="Heading3"/>
        <w:spacing w:before="200" w:after="80"/>
      </w:pPr>
      <w:r>
        <w:rPr>
          <w:rFonts w:ascii="Arial" w:cs="Arial" w:eastAsia="Arial" w:hAnsi="Arial"/>
          <w:b/>
          <w:bCs/>
          <w:color w:val="404040"/>
          <w:sz w:val="24"/>
          <w:szCs w:val="24"/>
        </w:rPr>
        <w:t xml:space="preserve">Why winsorize in levels, not logs?</w:t>
      </w:r>
    </w:p>
    <w:p>
      <w:pPr>
        <w:spacing w:before="80" w:after="80"/>
      </w:pPr>
      <w:r>
        <w:rPr>
          <w:rFonts w:ascii="Arial" w:cs="Arial" w:eastAsia="Arial" w:hAnsi="Arial"/>
          <w:color w:val="404040"/>
          <w:sz w:val="22"/>
          <w:szCs w:val="22"/>
        </w:rPr>
        <w:t xml:space="preserve">Winsorizing in levels is preferred because: (a) outliers in levels translate non-linearly into logs and cross-products, so a single extreme value can corrupt many regressors simultaneously; (b) applying the trim before the log ensures the log is never taken of a value that has already been set to a reasonable bound.</w:t>
      </w:r>
    </w:p>
    <w:p>
      <w:pPr>
        <w:spacing w:before="0" w:after="0"/>
      </w:pPr>
      <w:r>
        <w:rPr>
          <w:rFonts w:ascii="Arial" w:cs="Arial" w:eastAsia="Arial" w:hAnsi="Arial"/>
          <w:sz w:val="80"/>
          <w:szCs w:val="80"/>
        </w:rPr>
        <w:t xml:space="preserve"/>
      </w:r>
    </w:p>
    <w:p>
      <w:pPr>
        <w:pStyle w:val="Heading3"/>
        <w:spacing w:before="200" w:after="80"/>
      </w:pPr>
      <w:r>
        <w:rPr>
          <w:rFonts w:ascii="Arial" w:cs="Arial" w:eastAsia="Arial" w:hAnsi="Arial"/>
          <w:b/>
          <w:bCs/>
          <w:color w:val="404040"/>
          <w:sz w:val="24"/>
          <w:szCs w:val="24"/>
        </w:rPr>
        <w:t xml:space="preserve">Cell-level strategy with sector fallback</w:t>
      </w:r>
    </w:p>
    <w:p>
      <w:pPr>
        <w:spacing w:before="80" w:after="80"/>
      </w:pPr>
      <w:r>
        <w:rPr>
          <w:rFonts w:ascii="Arial" w:cs="Arial" w:eastAsia="Arial" w:hAnsi="Arial"/>
          <w:color w:val="404040"/>
          <w:sz w:val="22"/>
          <w:szCs w:val="22"/>
        </w:rPr>
        <w:t xml:space="preserve">Winsorization is applied at the most granular level first — within each ISIC-4 × year cell — to respect sector-specific and time-specific input distributions. If a cell has fewer than 10 observations, it is too thin for reliable quantile estimation, so the fallback uses the entire sector's distribution for that variable.</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Step 1: tag each row with its cell size</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df &lt;- df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group_by(isic4, year)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mutate(cell_n = n())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ungroup()</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Step 2: for each variable v in c('GO','K','L','M')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if cell_n &gt;= 10  →  winsorize within isic4 × year</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if cell_n &lt;  10  →  winsorize within isic4 only</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Step 3: swap winsorized column back over the original name</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so downstream code needs no changes</w:t>
            </w:r>
          </w:p>
        </w:tc>
      </w:tr>
    </w:tbl>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00"/>
              <w:left w:type="dxa" w:w="180"/>
              <w:bottom w:type="dxa" w:w="100"/>
              <w:right w:type="dxa" w:w="180"/>
            </w:tcMar>
          </w:tcPr>
          <w:p>
            <w:pPr>
              <w:spacing w:before="0" w:after="60"/>
            </w:pPr>
            <w:r>
              <w:rPr>
                <w:rFonts w:ascii="Arial" w:cs="Arial" w:eastAsia="Arial" w:hAnsi="Arial"/>
                <w:b/>
                <w:bCs/>
                <w:color w:val="375623"/>
                <w:sz w:val="20"/>
                <w:szCs w:val="20"/>
              </w:rPr>
              <w:t xml:space="preserve">✅  DESIGN CHOICE</w:t>
            </w:r>
          </w:p>
          <w:p>
            <w:pPr>
              <w:spacing w:before="0" w:after="0"/>
            </w:pPr>
            <w:r>
              <w:rPr>
                <w:rFonts w:ascii="Arial" w:cs="Arial" w:eastAsia="Arial" w:hAnsi="Arial"/>
                <w:color w:val="404040"/>
                <w:sz w:val="20"/>
                <w:szCs w:val="20"/>
              </w:rPr>
              <w:t xml:space="preserve">Swapping the winsorized values back into the original column names (GO, K, L, M) means every downstream section — logs, polynomials, GMM — works on clean data without any modification.</w:t>
            </w:r>
          </w:p>
        </w:tc>
      </w:tr>
    </w:tbl>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4"/>
              <w:bottom w:val="single" w:color="7F6000" w:sz="4"/>
              <w:right w:val="single" w:color="7F6000" w:sz="4"/>
            </w:tcBorders>
            <w:shd w:fill="FFF2CC" w:val="clear"/>
            <w:tcMar>
              <w:top w:type="dxa" w:w="100"/>
              <w:left w:type="dxa" w:w="180"/>
              <w:bottom w:type="dxa" w:w="100"/>
              <w:right w:type="dxa" w:w="180"/>
            </w:tcMar>
          </w:tcPr>
          <w:p>
            <w:pPr>
              <w:spacing w:before="0" w:after="60"/>
            </w:pPr>
            <w:r>
              <w:rPr>
                <w:rFonts w:ascii="Arial" w:cs="Arial" w:eastAsia="Arial" w:hAnsi="Arial"/>
                <w:b/>
                <w:bCs/>
                <w:color w:val="7F6000"/>
                <w:sz w:val="20"/>
                <w:szCs w:val="20"/>
              </w:rPr>
              <w:t xml:space="preserve">⚠️  IMPORTANT</w:t>
            </w:r>
          </w:p>
          <w:p>
            <w:pPr>
              <w:spacing w:before="0" w:after="0"/>
            </w:pPr>
            <w:r>
              <w:rPr>
                <w:rFonts w:ascii="Arial" w:cs="Arial" w:eastAsia="Arial" w:hAnsi="Arial"/>
                <w:color w:val="404040"/>
                <w:sz w:val="20"/>
                <w:szCs w:val="20"/>
              </w:rPr>
              <w:t xml:space="preserve">Use DescTools::Winsorize() explicitly (with the namespace prefix) to avoid conflicts with Hmisc::Winsorize(), which has a different argument signature. The DescTools version requires pre-computed quantile bounds as the second positional argument.</w:t>
            </w:r>
          </w:p>
        </w:tc>
      </w:tr>
    </w:tbl>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5. Section 1 — Helper Functions</w:t>
      </w:r>
    </w:p>
    <w:p>
      <w:pPr>
        <w:spacing w:before="80" w:after="80"/>
      </w:pPr>
      <w:r>
        <w:rPr>
          <w:rFonts w:ascii="Arial" w:cs="Arial" w:eastAsia="Arial" w:hAnsi="Arial"/>
          <w:color w:val="404040"/>
          <w:sz w:val="22"/>
          <w:szCs w:val="22"/>
        </w:rPr>
        <w:t xml:space="preserve">Five reusable functions encapsulate the technical core of the estimation so the sector loop (Section 4) remains readable. Each function is described in full below.</w:t>
      </w:r>
    </w:p>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5.1  safe_project()</w:t>
      </w:r>
    </w:p>
    <w:p>
      <w:pPr>
        <w:spacing w:before="80" w:after="80"/>
      </w:pPr>
      <w:r>
        <w:rPr>
          <w:rFonts w:ascii="Arial" w:cs="Arial" w:eastAsia="Arial" w:hAnsi="Arial"/>
          <w:color w:val="404040"/>
          <w:sz w:val="22"/>
          <w:szCs w:val="22"/>
        </w:rPr>
        <w:t xml:space="preserve">Performs the Markov-projection step inside the GMM criterion: regresses current-period productivity (OMEGA) on a cubic polynomial of lagged productivity (OMEGA_lag) to recover the innovation term (XI).</w:t>
      </w:r>
    </w:p>
    <w:p>
      <w:pPr>
        <w:spacing w:before="0" w:after="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safe_project &lt;- function(OMEGA_lag_pol, OMEGA)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A   &lt;- t(OMEGA_lag_pol) %*% OMEGA_lag_pol</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g_b &lt;- tryCatch(</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solve(A) %*% t(OMEGA_lag_pol) %*% OMEGA,</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error = function(e) MASS::ginv(A) %*% t(OMEGA_lag_pol) %*% OMEGA</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return(g_b)</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The normal solve(A) will fail if A is exactly or nearly singular (common in thin sectors). The tryCatch block catches any error and silently falls back to MASS::ginv(), the Moore-Penrose pseudoinverse, which always returns a solution even for rank-deficient systems. This is the key robustness fix that prevents the optimizer from crashing on small sectors.</w:t>
      </w:r>
    </w:p>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5.2  gmm_dlw_criterion()</w:t>
      </w:r>
    </w:p>
    <w:p>
      <w:pPr>
        <w:spacing w:before="80" w:after="80"/>
      </w:pPr>
      <w:r>
        <w:rPr>
          <w:rFonts w:ascii="Arial" w:cs="Arial" w:eastAsia="Arial" w:hAnsi="Arial"/>
          <w:color w:val="404040"/>
          <w:sz w:val="22"/>
          <w:szCs w:val="22"/>
        </w:rPr>
        <w:t xml:space="preserve">Computes the GMM objective function value for the 10-parameter translog production function. This is the function that the optimizer minimises.</w:t>
      </w:r>
    </w:p>
    <w:p>
      <w:pPr>
        <w:spacing w:before="0" w:after="0"/>
      </w:pPr>
      <w:r>
        <w:rPr>
          <w:rFonts w:ascii="Arial" w:cs="Arial" w:eastAsia="Arial" w:hAnsi="Arial"/>
          <w:sz w:val="60"/>
          <w:szCs w:val="60"/>
        </w:rPr>
        <w:t xml:space="preserve"/>
      </w:r>
    </w:p>
    <w:p>
      <w:pPr>
        <w:spacing w:before="80" w:after="80"/>
      </w:pPr>
      <w:r>
        <w:rPr>
          <w:rFonts w:ascii="Arial" w:cs="Arial" w:eastAsia="Arial" w:hAnsi="Arial"/>
          <w:color w:val="404040"/>
          <w:sz w:val="22"/>
          <w:szCs w:val="22"/>
        </w:rPr>
        <w:t xml:space="preserve">The translog specification is:</w:t>
      </w:r>
    </w:p>
    <w:p>
      <w:pPr>
        <w:spacing w:before="0" w:after="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ln_GO = b0 + b1·lnK + b2·lnL + b3·lnM</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b4·lnK² + b5·lnL² + b6·lnM²</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b7·lnK·lnL + b8·lnK·lnM + b9·lnL·lnM</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time dummies + ε</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Inside the function the following matrices are constructed per call:</w:t>
      </w:r>
    </w:p>
    <w:p>
      <w:pPr>
        <w:spacing w:before="0" w:after="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Matrix</w:t>
            </w:r>
          </w:p>
        </w:tc>
        <w:tc>
          <w:tcPr>
            <w:tcW w:type="dxa" w:w="6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X</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10 regressors for the current period (constant + 9 translog terms).</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X_lag</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Same 10 regressors but for t-1 (lagged).</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Z</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Instrument matrix: constant, lnK_t, lagged lnL, lagged lnM, lagged quadratic/cross terms. Labour and materials lags are used as instruments because they are predetermined.</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OMEGA</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First-stage residual for the current period: phi_t − X·β.</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OMEGA_lag</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First-stage residual for t-1: phi_{t-1} − X_lag·β.</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OMEGA_lag_pol</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Cubic polynomial in OMEGA_lag, used to project OMEGA in the Markov step.</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g_b</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OLS coefficients of OMEGA on OMEGA_lag_pol (via safe_project).</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XI</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Productivity innovation: OMEGA − OMEGA_lag_pol·g_b.</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ZXI</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Moment conditions: Z' × XI. At the true β these should be zero.</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The scalar returned is (ZXI)' · (ZXI) — the sum of squared moment conditions. The optimizer searches for the β that drives this to zero.</w:t>
      </w:r>
    </w:p>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5.3  gmm_acf_criterion()</w:t>
      </w:r>
    </w:p>
    <w:p>
      <w:pPr>
        <w:spacing w:before="80" w:after="80"/>
      </w:pPr>
      <w:r>
        <w:rPr>
          <w:rFonts w:ascii="Arial" w:cs="Arial" w:eastAsia="Arial" w:hAnsi="Arial"/>
          <w:color w:val="404040"/>
          <w:sz w:val="22"/>
          <w:szCs w:val="22"/>
        </w:rPr>
        <w:t xml:space="preserve">Identical in structure to gmm_dlw_criterion() but uses only 4 parameters (constant, lnK, lnL, lnM) — the Cobb-Douglas special case. Fewer parameters means far less risk of near-singular matrices and faster convergence. Used in Tier 2 as a fallback for sectors where the translog fails.</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80"/>
              <w:bottom w:type="dxa" w:w="100"/>
              <w:right w:type="dxa" w:w="180"/>
            </w:tcMar>
          </w:tcPr>
          <w:p>
            <w:pPr>
              <w:spacing w:before="0" w:after="60"/>
            </w:pPr>
            <w:r>
              <w:rPr>
                <w:rFonts w:ascii="Arial" w:cs="Arial" w:eastAsia="Arial" w:hAnsi="Arial"/>
                <w:b/>
                <w:bCs/>
                <w:color w:val="2E75B6"/>
                <w:sz w:val="20"/>
                <w:szCs w:val="20"/>
              </w:rPr>
              <w:t xml:space="preserve">📌  NOTE</w:t>
            </w:r>
          </w:p>
          <w:p>
            <w:pPr>
              <w:spacing w:before="0" w:after="0"/>
            </w:pPr>
            <w:r>
              <w:rPr>
                <w:rFonts w:ascii="Arial" w:cs="Arial" w:eastAsia="Arial" w:hAnsi="Arial"/>
                <w:color w:val="404040"/>
                <w:sz w:val="20"/>
                <w:szCs w:val="20"/>
              </w:rPr>
              <w:t xml:space="preserve">Because the Cobb-Douglas model has no cross-terms, its elasticities are constant across all firms in a sector and across all years. This is an approximation, but it guarantees coverage for thin sectors.</w:t>
            </w:r>
          </w:p>
        </w:tc>
      </w:tr>
    </w:tbl>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5.4  run_gmm()</w:t>
      </w:r>
    </w:p>
    <w:p>
      <w:pPr>
        <w:spacing w:before="80" w:after="80"/>
      </w:pPr>
      <w:r>
        <w:rPr>
          <w:rFonts w:ascii="Arial" w:cs="Arial" w:eastAsia="Arial" w:hAnsi="Arial"/>
          <w:color w:val="404040"/>
          <w:sz w:val="22"/>
          <w:szCs w:val="22"/>
        </w:rPr>
        <w:t xml:space="preserve">A generic wrapper that runs any criterion function through a two-stage optimizer cascade: Nelder-Mead first, then Rvmmin as a gradient-based fallback.</w:t>
      </w:r>
    </w:p>
    <w:p>
      <w:pPr>
        <w:spacing w:before="0" w:after="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run_gmm &lt;- function(criterion_fn, data_gmm, beta_guess)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Stage 1: Nelder-Mead (derivative-free, robust to noisy surfaces)</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result_nm &lt;- optimx(..., method = 'Nelder-Mead', maxit = 10000)</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If NM converged cleanly (convcode == 0) → return immediately</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If NM stalled (convcode == 1) → use its endpoint as starting point for Stage 2</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If NM errored → fall back to original beta_guess for Stage 2</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Stage 2: Rvmmin (gradient-based, better at fine-tuning near the minimum)</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result_rv &lt;- optimx(..., method = 'Rvmmin', maxit = 10000)</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Returns: list(converged = TRUE/FALSE, betas = numeric vector)</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The function returns a list with two fields: converged (logical) and betas (numeric vector of length np). If neither optimizer succeeds, betas is a vector of NA values and the sector will fall through to the next tier.</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00"/>
              <w:left w:type="dxa" w:w="180"/>
              <w:bottom w:type="dxa" w:w="100"/>
              <w:right w:type="dxa" w:w="180"/>
            </w:tcMar>
          </w:tcPr>
          <w:p>
            <w:pPr>
              <w:spacing w:before="0" w:after="60"/>
            </w:pPr>
            <w:r>
              <w:rPr>
                <w:rFonts w:ascii="Arial" w:cs="Arial" w:eastAsia="Arial" w:hAnsi="Arial"/>
                <w:b/>
                <w:bCs/>
                <w:color w:val="375623"/>
                <w:sz w:val="20"/>
                <w:szCs w:val="20"/>
              </w:rPr>
              <w:t xml:space="preserve">✅  DESIGN CHOICE</w:t>
            </w:r>
          </w:p>
          <w:p>
            <w:pPr>
              <w:spacing w:before="0" w:after="0"/>
            </w:pPr>
            <w:r>
              <w:rPr>
                <w:rFonts w:ascii="Arial" w:cs="Arial" w:eastAsia="Arial" w:hAnsi="Arial"/>
                <w:color w:val="404040"/>
                <w:sz w:val="20"/>
                <w:szCs w:val="20"/>
              </w:rPr>
              <w:t xml:space="preserve">Nelder-Mead is chosen as the primary optimizer because the GMM surface can be non-smooth and non-convex, especially for the translog with its many cross-terms. Rvmmin provides a gradient-based refinement when Nelder-Mead stalls close to the minimum.</w:t>
            </w:r>
          </w:p>
        </w:tc>
      </w:tr>
    </w:tbl>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5.5  add_wt_cols()</w:t>
      </w:r>
    </w:p>
    <w:p>
      <w:pPr>
        <w:spacing w:before="80" w:after="80"/>
      </w:pPr>
      <w:r>
        <w:rPr>
          <w:rFonts w:ascii="Arial" w:cs="Arial" w:eastAsia="Arial" w:hAnsi="Arial"/>
          <w:color w:val="404040"/>
          <w:sz w:val="22"/>
          <w:szCs w:val="22"/>
        </w:rPr>
        <w:t xml:space="preserve">A small utility that copies a set of named columns into new columns with a _wt suffix. This naming convention is required by the GMM criterion functions, which look for columns ending in _wt. The function safely skips any column name that does not exist in the data frame.</w:t>
      </w:r>
    </w:p>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5.6  run_first_stage()</w:t>
      </w:r>
    </w:p>
    <w:p>
      <w:pPr>
        <w:spacing w:before="80" w:after="80"/>
      </w:pPr>
      <w:r>
        <w:rPr>
          <w:rFonts w:ascii="Arial" w:cs="Arial" w:eastAsia="Arial" w:hAnsi="Arial"/>
          <w:color w:val="404040"/>
          <w:sz w:val="22"/>
          <w:szCs w:val="22"/>
        </w:rPr>
        <w:t xml:space="preserve">Runs the first-stage OLS regression that identifies the productivity proxy (phi), then attaches one-period lags of all inputs and the proxy to the data frame.</w:t>
      </w:r>
    </w:p>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The first-stage regression is:</w:t>
      </w:r>
    </w:p>
    <w:p>
      <w:pPr>
        <w:spacing w:before="0" w:after="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ln_GO ~ [polynomial in lnK, lnL, lnM] + year dummies</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The fitted values (phi) are the proxy for unobserved productivity plus measurement error — they absorb everything correlated with inputs. The residual (epsilon) is the i.i.d. error from the proxy assumption.</w:t>
      </w:r>
    </w:p>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Two polynomial specifications are tried:</w:t>
      </w:r>
    </w:p>
    <w:p>
      <w:pPr>
        <w:pStyle w:val="ListParagraph"/>
        <w:numPr>
          <w:ilvl w:val="0"/>
          <w:numId w:val="2"/>
        </w:numPr>
        <w:spacing w:before="40" w:after="40"/>
      </w:pPr>
      <w:r>
        <w:rPr>
          <w:rFonts w:ascii="Arial" w:cs="Arial" w:eastAsia="Arial" w:hAnsi="Arial"/>
          <w:color w:val="404040"/>
          <w:sz w:val="22"/>
          <w:szCs w:val="22"/>
        </w:rPr>
        <w:t xml:space="preserve">use_full_poly = TRUE: up to cubic terms and all cross-products (up to 39 regressors before time dummies). More flexible but may fail for thin sectors due to collinearity.</w:t>
      </w:r>
    </w:p>
    <w:p>
      <w:pPr>
        <w:pStyle w:val="ListParagraph"/>
        <w:numPr>
          <w:ilvl w:val="0"/>
          <w:numId w:val="2"/>
        </w:numPr>
        <w:spacing w:before="40" w:after="40"/>
      </w:pPr>
      <w:r>
        <w:rPr>
          <w:rFonts w:ascii="Arial" w:cs="Arial" w:eastAsia="Arial" w:hAnsi="Arial"/>
          <w:color w:val="404040"/>
          <w:sz w:val="22"/>
          <w:szCs w:val="22"/>
        </w:rPr>
        <w:t xml:space="preserve">use_full_poly = FALSE: quadratic terms and first-order cross-products only (7 regressors). The fallback.</w:t>
      </w:r>
    </w:p>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After fitting, the function appends lagged values (one period back) of phi, k1, l1, m1, and all cross-product terms. These lags are essential for: (a) the Markov-projection step in the GMM criterion, and (b) constructing the instrument matrix Z.</w:t>
      </w:r>
    </w:p>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6. Section 4 — Sector-by-Sector Cascade Estimation</w:t>
      </w:r>
    </w:p>
    <w:p>
      <w:pPr>
        <w:spacing w:before="80" w:after="80"/>
      </w:pPr>
      <w:r>
        <w:rPr>
          <w:rFonts w:ascii="Arial" w:cs="Arial" w:eastAsia="Arial" w:hAnsi="Arial"/>
          <w:color w:val="404040"/>
          <w:sz w:val="22"/>
          <w:szCs w:val="22"/>
        </w:rPr>
        <w:t xml:space="preserve">The outer loop iterates over every distinct 4-digit ISIC sector present in the data. For each sector it attempts Tier 1, then fills remaining gaps with Tier 2. The result for each sector is stored in a list and assembled afterwards.</w:t>
      </w:r>
    </w:p>
    <w:p>
      <w:pPr>
        <w:spacing w:before="0" w:after="0"/>
      </w:pPr>
      <w:r>
        <w:rPr>
          <w:rFonts w:ascii="Arial" w:cs="Arial" w:eastAsia="Arial" w:hAnsi="Arial"/>
          <w:sz w:val="80"/>
          <w:szCs w:val="80"/>
        </w:rPr>
        <w:t xml:space="preserve"/>
      </w:r>
    </w:p>
    <w:p>
      <w:pPr>
        <w:pStyle w:val="Heading2"/>
        <w:spacing w:before="280" w:after="120"/>
      </w:pPr>
      <w:r>
        <w:rPr>
          <w:rFonts w:ascii="Arial" w:cs="Arial" w:eastAsia="Arial" w:hAnsi="Arial"/>
          <w:b/>
          <w:bCs/>
          <w:color w:val="2E75B6"/>
          <w:sz w:val="28"/>
          <w:szCs w:val="28"/>
        </w:rPr>
        <w:t xml:space="preserve">6.1  Data preparation per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ds &lt;- df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filter(isic4 == sec, GO &gt; 0, K &gt; 0, L &gt; 0, M &gt; 0)</w:t>
            </w:r>
          </w:p>
        </w:tc>
      </w:tr>
    </w:tbl>
    <w:p>
      <w:pPr>
        <w:spacing w:before="0" w:after="0"/>
      </w:pPr>
      <w:r>
        <w:rPr>
          <w:rFonts w:ascii="Arial" w:cs="Arial" w:eastAsia="Arial" w:hAnsi="Arial"/>
          <w:sz w:val="60"/>
          <w:szCs w:val="60"/>
        </w:rPr>
        <w:t xml:space="preserve"/>
      </w:r>
    </w:p>
    <w:p>
      <w:pPr>
        <w:spacing w:before="80" w:after="80"/>
      </w:pPr>
      <w:r>
        <w:rPr>
          <w:rFonts w:ascii="Arial" w:cs="Arial" w:eastAsia="Arial" w:hAnsi="Arial"/>
          <w:color w:val="404040"/>
          <w:sz w:val="22"/>
          <w:szCs w:val="22"/>
        </w:rPr>
        <w:t xml:space="preserve">Only observations with strictly positive values for all four variables are kept. Zero or negative values would produce undefined logarithms and are almost certainly data errors.</w:t>
      </w:r>
    </w:p>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Log inputs and polynomial terms are then constructed: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ln_GO = log(GO);  ln_K = log(K);  ln_L = log(L);  ln_M = log(M)</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k_i = ln_K^i  (i = 1, 2, 3)</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l_i = ln_L^i</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m_i = ln_M^i</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k_i_l_j = ln_K^i * ln_L^j  (all combinations i,j in {1,2,3})</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k_i_m_j = ln_K^i * ln_M^j</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l_i_m_j = ln_L^i * ln_M^j</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Year fixed effects are added as a full set of year dummies (one per year, no base category dropped at this stage — collinearity is handled by lm() dropping aliased columns automatically).</w:t>
      </w:r>
    </w:p>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6.2  Tier 1 — DLW Translog GMM</w:t>
      </w:r>
    </w:p>
    <w:p>
      <w:pPr>
        <w:spacing w:before="80" w:after="80"/>
      </w:pPr>
      <w:r>
        <w:rPr>
          <w:rFonts w:ascii="Arial" w:cs="Arial" w:eastAsia="Arial" w:hAnsi="Arial"/>
          <w:color w:val="404040"/>
          <w:sz w:val="22"/>
          <w:szCs w:val="22"/>
        </w:rPr>
        <w:t xml:space="preserve">This is the preferred estimator. It produces firm-varying elasticities because the partial derivative of the translog with respect to each log-input depends on the firm's own input levels.</w:t>
      </w:r>
    </w:p>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The elasticities at the optimum β* are:</w:t>
      </w:r>
    </w:p>
    <w:p>
      <w:pPr>
        <w:spacing w:before="0" w:after="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∂ln_GO/∂ln_K  =  b1 + 2·b4·lnK + b7·lnL + b8·lnM</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∂ln_GO/∂ln_L  =  b2 + 2·b5·lnL + b7·lnK + b9·lnM</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∂ln_GO/∂ln_M  =  b3 + 2·b6·lnM + b8·lnK + b9·lnL</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Only observations where all three elasticities are strictly positive are accepted (tier1_ok mask). Observations with any non-positive elasticity are passed to Tier 2. This positivity check implements the standard economic restriction that additional inputs cannot reduce output.</w:t>
      </w:r>
    </w:p>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Tier 1 requires at least 20 GMM observations (firm-year pairs with non-missing lags). Below this threshold the moment conditions are under-identified relative to the number of parameters.</w:t>
      </w:r>
    </w:p>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6.3  Tier 2 — ACF Cobb-Douglas GMM</w:t>
      </w:r>
    </w:p>
    <w:p>
      <w:pPr>
        <w:spacing w:before="80" w:after="80"/>
      </w:pPr>
      <w:r>
        <w:rPr>
          <w:rFonts w:ascii="Arial" w:cs="Arial" w:eastAsia="Arial" w:hAnsi="Arial"/>
          <w:color w:val="404040"/>
          <w:sz w:val="22"/>
          <w:szCs w:val="22"/>
        </w:rPr>
        <w:t xml:space="preserve">Runs only for observations that Tier 1 could not fill (is.na on any elasticity, or non-positive values from Tier 1). The Cobb-Douglas model has 4 parameters and requires only 10 GMM observations, making it viable for smaller sectors.</w:t>
      </w:r>
    </w:p>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Because the Cobb-Douglas is a special case with no cross or squared terms, its elasticities are:</w:t>
      </w:r>
    </w:p>
    <w:p>
      <w:pPr>
        <w:spacing w:before="0" w:after="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∂ln_GO/∂ln_K  =  b1  (constant for all firms in the sector)</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∂ln_GO/∂ln_L  =  b2</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∂ln_GO/∂ln_M  =  b3</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The same positivity check applies: if any of b1, b2, b3 is non-positive, Tier 2 is skipped and those observations remain as NA.</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80"/>
              <w:bottom w:type="dxa" w:w="100"/>
              <w:right w:type="dxa" w:w="180"/>
            </w:tcMar>
          </w:tcPr>
          <w:p>
            <w:pPr>
              <w:spacing w:before="0" w:after="60"/>
            </w:pPr>
            <w:r>
              <w:rPr>
                <w:rFonts w:ascii="Arial" w:cs="Arial" w:eastAsia="Arial" w:hAnsi="Arial"/>
                <w:b/>
                <w:bCs/>
                <w:color w:val="2E75B6"/>
                <w:sz w:val="20"/>
                <w:szCs w:val="20"/>
              </w:rPr>
              <w:t xml:space="preserve">📌  NOTE</w:t>
            </w:r>
          </w:p>
          <w:p>
            <w:pPr>
              <w:spacing w:before="0" w:after="0"/>
            </w:pPr>
            <w:r>
              <w:rPr>
                <w:rFonts w:ascii="Arial" w:cs="Arial" w:eastAsia="Arial" w:hAnsi="Arial"/>
                <w:color w:val="404040"/>
                <w:sz w:val="20"/>
                <w:szCs w:val="20"/>
              </w:rPr>
              <w:t xml:space="preserve">Tier 2 re-runs the first-stage regression using the reduced polynomial (use_full_poly = FALSE) if the first-stage output from Tier 1 is unavailable or all-NA. This ensures phi and phi_lag exist for the ACF GMM criterion.</w:t>
            </w:r>
          </w:p>
        </w:tc>
      </w:tr>
    </w:tbl>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6.4  Sector results storage</w:t>
      </w:r>
    </w:p>
    <w:p>
      <w:pPr>
        <w:spacing w:before="80" w:after="80"/>
      </w:pPr>
      <w:r>
        <w:rPr>
          <w:rFonts w:ascii="Arial" w:cs="Arial" w:eastAsia="Arial" w:hAnsi="Arial"/>
          <w:color w:val="404040"/>
          <w:sz w:val="22"/>
          <w:szCs w:val="22"/>
        </w:rPr>
        <w:t xml:space="preserve">After both tiers have run, the sector data frame is trimmed to only the columns needed downstream and stored in the sector_results list:</w:t>
      </w:r>
    </w:p>
    <w:p>
      <w:pPr>
        <w:spacing w:before="0" w:after="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sector_results[[sec_key]] &lt;- ds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dplyr::select(any_of(c(</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"year", "isic4", ID_col,</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"beta_k_DLW", "beta_l_DLW", "beta_m_DLW",</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"elasticity_method"</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The elasticity_method column records which tier produced each observation's elasticities: 'DLW_translog' for Tier 1 or 'ACF_cd' for Tier 2. NA means neither tier succeeded.</w:t>
      </w:r>
    </w:p>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7. Section 5 — Assembly, Summary, and Save</w:t>
      </w:r>
    </w:p>
    <w:p>
      <w:pPr>
        <w:spacing w:before="80" w:after="80"/>
      </w:pPr>
      <w:r>
        <w:rPr>
          <w:rFonts w:ascii="Arial" w:cs="Arial" w:eastAsia="Arial" w:hAnsi="Arial"/>
          <w:color w:val="404040"/>
          <w:sz w:val="22"/>
          <w:szCs w:val="22"/>
        </w:rPr>
        <w:t xml:space="preserve">After the sector loop completes, all sector result data frames are row-bound into a single data frame and sorted by sector, year, and firm ID.</w:t>
      </w:r>
    </w:p>
    <w:p>
      <w:pPr>
        <w:spacing w:before="0" w:after="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final_df &lt;- bind_rows(sector_results_clean)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arrange(isic4, year, !!sym(ID_col))</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A coverage summary is printed to the console showing how many observations were filled by each tier and how many remain missing. The assembled data are written to:</w:t>
      </w:r>
    </w:p>
    <w:p>
      <w:pPr>
        <w:spacing w:before="0" w:after="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data/proc/elasticities_DLW_ISIC4.parquet</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This file contains only the elasticity columns (beta_k_DLW, beta_l_DLW, beta_m_DLW, elasticity_method) and the merge keys (id_firm, year, isic4). It is intentionally lean so it can be merged cleanly onto any version of the EAM survey data.</w:t>
      </w:r>
    </w:p>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8. Markup and Markdown Computation</w:t>
      </w:r>
    </w:p>
    <w:p>
      <w:pPr>
        <w:spacing w:before="80" w:after="80"/>
      </w:pPr>
      <w:r>
        <w:rPr>
          <w:rFonts w:ascii="Arial" w:cs="Arial" w:eastAsia="Arial" w:hAnsi="Arial"/>
          <w:color w:val="404040"/>
          <w:sz w:val="22"/>
          <w:szCs w:val="22"/>
        </w:rPr>
        <w:t xml:space="preserve">After clearing the environment (rm(list = ls())), the second stage of the script reloads the raw EAM survey and merges the elasticity file onto it, then computes three objects per firm-year: input expenditure shares, markups, and labour markdowns.</w:t>
      </w:r>
    </w:p>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8.1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df &lt;- read_parquet("data/proc/EAM.parquet")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e  &lt;- read_parquet("data/proc/elasticities_DLW_ISIC4.parquet")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final_df &lt;- df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left_join(e, by = c("id_firm", "year", "isic4"))</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A left join is used so that all original survey observations are retained. Firms for which no elasticity was estimated will have NA in the beta columns and will produce NA markups/markdowns downstream.</w:t>
      </w:r>
    </w:p>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8.2  Input expenditure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alpha_k = KEXP / GO    # capital cost share</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alpha_l = WB   / GO    # labour cost share  (WB = wage bill)</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alpha_m = M    / GO    # intermediate input share</w:t>
            </w:r>
          </w:p>
        </w:tc>
      </w:tr>
    </w:tbl>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Survey column</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GO</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Gross output (revenue) — denominator for all shares.</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KEXP</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Capital expenditure (depreciation + user cost).</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WB</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Wage bill (total labour compensation).</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M</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Total cost of intermediate inputs (materials + energy + services).</w:t>
            </w:r>
          </w:p>
        </w:tc>
      </w:tr>
    </w:tbl>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80"/>
              <w:bottom w:type="dxa" w:w="100"/>
              <w:right w:type="dxa" w:w="180"/>
            </w:tcMar>
          </w:tcPr>
          <w:p>
            <w:pPr>
              <w:spacing w:before="0" w:after="60"/>
            </w:pPr>
            <w:r>
              <w:rPr>
                <w:rFonts w:ascii="Arial" w:cs="Arial" w:eastAsia="Arial" w:hAnsi="Arial"/>
                <w:b/>
                <w:bCs/>
                <w:color w:val="2E75B6"/>
                <w:sz w:val="20"/>
                <w:szCs w:val="20"/>
              </w:rPr>
              <w:t xml:space="preserve">📌  NOTE</w:t>
            </w:r>
          </w:p>
          <w:p>
            <w:pPr>
              <w:spacing w:before="0" w:after="0"/>
            </w:pPr>
            <w:r>
              <w:rPr>
                <w:rFonts w:ascii="Arial" w:cs="Arial" w:eastAsia="Arial" w:hAnsi="Arial"/>
                <w:color w:val="404040"/>
                <w:sz w:val="20"/>
                <w:szCs w:val="20"/>
              </w:rPr>
              <w:t xml:space="preserve">Input shares are constructed from the original, non-winsorized EAM data. Winsorization was applied only to the physical quantity inputs used in the production-function estimation.</w:t>
            </w:r>
          </w:p>
        </w:tc>
      </w:tr>
    </w:tbl>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8.3  Markup</w:t>
      </w:r>
    </w:p>
    <w:p>
      <w:pPr>
        <w:spacing w:before="80" w:after="80"/>
      </w:pPr>
      <w:r>
        <w:rPr>
          <w:rFonts w:ascii="Arial" w:cs="Arial" w:eastAsia="Arial" w:hAnsi="Arial"/>
          <w:color w:val="404040"/>
          <w:sz w:val="22"/>
          <w:szCs w:val="22"/>
        </w:rPr>
        <w:t xml:space="preserve">The markup is defined following De Loecker &amp; Warzynski (2012) as the ratio of the output elasticity of the variable input to its revenue share:</w:t>
      </w:r>
    </w:p>
    <w:p>
      <w:pPr>
        <w:spacing w:before="0" w:after="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mu_m  =  beta_m_DLW / alpha_m</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Intermediate inputs (M) are chosen as the variable input because they are the most flexibly adjusted within a period (no adjustment costs or quasi-fixity), making the proxy assumption most credible for them. Under profit maximisation, mu_m equals price over marginal cost (P/MC). Values greater than 1 indicate market power.</w:t>
      </w:r>
    </w:p>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8.4  Labour markdown</w:t>
      </w:r>
    </w:p>
    <w:p>
      <w:pPr>
        <w:spacing w:before="80" w:after="80"/>
      </w:pPr>
      <w:r>
        <w:rPr>
          <w:rFonts w:ascii="Arial" w:cs="Arial" w:eastAsia="Arial" w:hAnsi="Arial"/>
          <w:color w:val="404040"/>
          <w:sz w:val="22"/>
          <w:szCs w:val="22"/>
        </w:rPr>
        <w:t xml:space="preserve">The markdown measures the degree of monopsony power in the labour market — how far the wage is below the marginal revenue product of labour. It is defined as:</w:t>
      </w:r>
    </w:p>
    <w:p>
      <w:pPr>
        <w:spacing w:before="0" w:after="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nu_l  =  (beta_l_DLW / alpha_l)  ×  (1 / mu_m)</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Intuitively, beta_l / alpha_l is the ratio of labour's output elasticity to its revenue share. Under perfect competition in both product and labour markets this would equal 1. Dividing by the markup (mu_m) isolates the labour-market distortion from the product-market distortion. A value of nu_l &lt; 1 means workers are paid below their marginal product, i.e. the firm has monopsony power.</w:t>
      </w:r>
    </w:p>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9. Labour Markdown Imputation (nu_l)</w:t>
      </w:r>
    </w:p>
    <w:p>
      <w:pPr>
        <w:spacing w:before="80" w:after="80"/>
      </w:pPr>
      <w:r>
        <w:rPr>
          <w:rFonts w:ascii="Arial" w:cs="Arial" w:eastAsia="Arial" w:hAnsi="Arial"/>
          <w:color w:val="404040"/>
          <w:sz w:val="22"/>
          <w:szCs w:val="22"/>
        </w:rPr>
        <w:t xml:space="preserve">Because nu_l depends on beta_l_DLW (which may be missing) and on alpha_l (which requires positive WB and GO), some firm-year observations will have NA for nu_l even when elasticities are available. The imputation strategy proceeds in two steps.</w:t>
      </w:r>
    </w:p>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9.1  Step 1 — Within-firm forward/backward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final_df &lt;- final_df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arrange(id_firm, year)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group_by(id_firm)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mutate(</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nu_l_filled = zoo::na.locf(nu_l, na.rm = FALSE),              # forward fill</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nu_l_filled = zoo::na.locf(nu_l_filled, fromLast = TRUE, na.rm = FALSE)  # backward fill</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ungroup()</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For a firm active 2001–2008 with nu_l observed only 2003–2007:</w:t>
      </w:r>
    </w:p>
    <w:p>
      <w:pPr>
        <w:pStyle w:val="ListParagraph"/>
        <w:numPr>
          <w:ilvl w:val="0"/>
          <w:numId w:val="2"/>
        </w:numPr>
        <w:spacing w:before="40" w:after="40"/>
      </w:pPr>
      <w:r>
        <w:rPr>
          <w:rFonts w:ascii="Arial" w:cs="Arial" w:eastAsia="Arial" w:hAnsi="Arial"/>
          <w:color w:val="404040"/>
          <w:sz w:val="22"/>
          <w:szCs w:val="22"/>
        </w:rPr>
        <w:t xml:space="preserve">Forward fill carries the 2007 value forward to fill 2008.</w:t>
      </w:r>
    </w:p>
    <w:p>
      <w:pPr>
        <w:pStyle w:val="ListParagraph"/>
        <w:numPr>
          <w:ilvl w:val="0"/>
          <w:numId w:val="2"/>
        </w:numPr>
        <w:spacing w:before="40" w:after="40"/>
      </w:pPr>
      <w:r>
        <w:rPr>
          <w:rFonts w:ascii="Arial" w:cs="Arial" w:eastAsia="Arial" w:hAnsi="Arial"/>
          <w:color w:val="404040"/>
          <w:sz w:val="22"/>
          <w:szCs w:val="22"/>
        </w:rPr>
        <w:t xml:space="preserve">Backward fill (fromLast = TRUE) carries the 2003 value backward to fill 2001 and 2002.</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00"/>
              <w:left w:type="dxa" w:w="180"/>
              <w:bottom w:type="dxa" w:w="100"/>
              <w:right w:type="dxa" w:w="180"/>
            </w:tcMar>
          </w:tcPr>
          <w:p>
            <w:pPr>
              <w:spacing w:before="0" w:after="60"/>
            </w:pPr>
            <w:r>
              <w:rPr>
                <w:rFonts w:ascii="Arial" w:cs="Arial" w:eastAsia="Arial" w:hAnsi="Arial"/>
                <w:b/>
                <w:bCs/>
                <w:color w:val="375623"/>
                <w:sz w:val="20"/>
                <w:szCs w:val="20"/>
              </w:rPr>
              <w:t xml:space="preserve">✅  DESIGN CHOICE</w:t>
            </w:r>
          </w:p>
          <w:p>
            <w:pPr>
              <w:spacing w:before="0" w:after="0"/>
            </w:pPr>
            <w:r>
              <w:rPr>
                <w:rFonts w:ascii="Arial" w:cs="Arial" w:eastAsia="Arial" w:hAnsi="Arial"/>
                <w:color w:val="404040"/>
                <w:sz w:val="20"/>
                <w:szCs w:val="20"/>
              </w:rPr>
              <w:t xml:space="preserve">The two-pass fill is the minimal assumption: the firm's market power is approximated by the nearest observed year. No extrapolation or interpolation is performed.</w:t>
            </w:r>
          </w:p>
        </w:tc>
      </w:tr>
    </w:tbl>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9.2  Step 2 — ISIC-4 sector median fallback</w:t>
      </w:r>
    </w:p>
    <w:p>
      <w:pPr>
        <w:spacing w:before="80" w:after="80"/>
      </w:pPr>
      <w:r>
        <w:rPr>
          <w:rFonts w:ascii="Arial" w:cs="Arial" w:eastAsia="Arial" w:hAnsi="Arial"/>
          <w:color w:val="404040"/>
          <w:sz w:val="22"/>
          <w:szCs w:val="22"/>
        </w:rPr>
        <w:t xml:space="preserve">Firms with no observed nu_l in any year cannot benefit from the fill. For these, the median nu_l across all firms in the same 4-digit sector is imputed.</w:t>
      </w:r>
    </w:p>
    <w:p>
      <w:pPr>
        <w:spacing w:before="0" w:after="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isic4_median &lt;- final_df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group_by(isic4) %&gt;%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summarise(nu_l_isic4_median = median(nu_l, na.rm = TRUE))</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The median is computed from observed nu_l values only,</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before any fill, so it reflects true estimated markdowns.</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The final imputed column nu_l_imputed combines both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nu_l_impute_method value</w:t>
            </w:r>
          </w:p>
        </w:tc>
        <w:tc>
          <w:tcPr>
            <w:tcW w:type="dxa" w:w="6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observed</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The original nu_l was not NA — no imputation needed.</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firm_fill</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NA filled by forward or backward fill within the firm's panel.</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isic4_median</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Firm had no observed nu_l; sector median was used.</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missing</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Sector median was also NA (sector fully uncovered) — edge case.</w:t>
            </w:r>
          </w:p>
        </w:tc>
      </w:tr>
    </w:tbl>
    <w:p>
      <w:pPr>
        <w:spacing w:before="0" w:after="0"/>
      </w:pPr>
      <w:r>
        <w:rPr>
          <w:rFonts w:ascii="Arial" w:cs="Arial" w:eastAsia="Arial" w:hAnsi="Arial"/>
          <w:sz w:val="100"/>
          <w:szCs w:val="100"/>
        </w:rPr>
        <w:t xml:space="preserve"/>
      </w:r>
    </w:p>
    <w:p>
      <w:pPr>
        <w:pStyle w:val="Heading2"/>
        <w:spacing w:before="280" w:after="120"/>
      </w:pPr>
      <w:r>
        <w:rPr>
          <w:rFonts w:ascii="Arial" w:cs="Arial" w:eastAsia="Arial" w:hAnsi="Arial"/>
          <w:b/>
          <w:bCs/>
          <w:color w:val="2E75B6"/>
          <w:sz w:val="28"/>
          <w:szCs w:val="28"/>
        </w:rPr>
        <w:t xml:space="preserve">9.3  Inverse markdown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nu_l_inv = 1 / nu_l_imputed</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The inverse markdown is stored for convenience. It can be interpreted as the ratio of the marginal cost of labour to the wage, or equivalently as the labour supply elasticity faced by the firm under the standard monopsony model.</w:t>
      </w:r>
    </w:p>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10. Final Output File</w:t>
      </w:r>
    </w:p>
    <w:p>
      <w:pPr>
        <w:spacing w:before="80" w:after="80"/>
      </w:pPr>
      <w:r>
        <w:rPr>
          <w:rFonts w:ascii="Arial" w:cs="Arial" w:eastAsia="Arial" w:hAnsi="Arial"/>
          <w:color w:val="404040"/>
          <w:sz w:val="22"/>
          <w:szCs w:val="22"/>
        </w:rPr>
        <w:t xml:space="preserve">The complete merged and computed data frame is saved as:</w:t>
      </w:r>
    </w:p>
    <w:p>
      <w:pPr>
        <w:spacing w:before="0" w:after="0"/>
      </w:pPr>
      <w:r>
        <w:rPr>
          <w:rFonts w:ascii="Arial" w:cs="Arial" w:eastAsia="Arial" w:hAnsi="Arial"/>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data/proc/work_EAM.parquet</w:t>
            </w:r>
          </w:p>
        </w:tc>
      </w:tr>
    </w:tbl>
    <w:p>
      <w:pPr>
        <w:spacing w:before="0" w:after="0"/>
      </w:pPr>
      <w:r>
        <w:rPr>
          <w:rFonts w:ascii="Arial" w:cs="Arial" w:eastAsia="Arial" w:hAnsi="Arial"/>
          <w:sz w:val="80"/>
          <w:szCs w:val="80"/>
        </w:rPr>
        <w:t xml:space="preserve"/>
      </w:r>
    </w:p>
    <w:p>
      <w:pPr>
        <w:spacing w:before="80" w:after="80"/>
      </w:pPr>
      <w:r>
        <w:rPr>
          <w:rFonts w:ascii="Arial" w:cs="Arial" w:eastAsia="Arial" w:hAnsi="Arial"/>
          <w:color w:val="404040"/>
          <w:sz w:val="22"/>
          <w:szCs w:val="22"/>
        </w:rPr>
        <w:t xml:space="preserve">This file contains all original EAM survey columns plus the following derived variables:</w:t>
      </w:r>
    </w:p>
    <w:p>
      <w:pPr>
        <w:spacing w:before="0" w:after="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beta_k_DLW</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Output elasticity of capital. Firm-varying for DLW_translog; sector-constant for ACF_cd.</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beta_l_DLW</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Output elasticity of labour. Same source notation.</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beta_m_DLW</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Output elasticity of intermediate inputs.</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elasticity_method</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Source tier: 'DLW_translog', 'ACF_cd', or NA.</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alpha_k</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Capital expenditure share (KEXP / GO).</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alpha_l</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Labour cost share (WB / GO).</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alpha_m</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Intermediate input share (M / GO).</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mu_m</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Product market markup (beta_m_DLW / alpha_m).</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nu_l</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Labour markdown — raw, before imputation.</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nu_l_filled</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nu_l after within-firm forward/backward fill.</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nu_l_isic4_median</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Sector median of nu_l (merge key for fallback imputation).</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nu_l_imputed</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Final imputed labour markdown (preferred analysis variable).</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nu_l_impute_method</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Audit flag recording how nu_l_imputed was obtained.</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nu_l_inv</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Inverse of nu_l_imputed (1 / nu_l_imputed).</w:t>
            </w:r>
          </w:p>
        </w:tc>
      </w:tr>
    </w:tbl>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11. Common Issues and Troubleshooting</w:t>
      </w:r>
    </w:p>
    <w:p>
      <w:pPr>
        <w:spacing w:before="0" w:after="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6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cause and fix</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Winsorize() unused arguments error</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Hmisc is masking DescTools::Winsorize. Either remove Hmisc from p_load, or always call DescTools::Winsorize() explicitly with pre-computed quantile bounds as the second positional argument.</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dplyr::select() masked by MASS::select()</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Load dplyr last in p_load. If you add new packages, always append them before dplyr, or use dplyr:: prefix.</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Tier 1 consistently fails for small sectors</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Normal behaviour — small sectors fall to Tier 2. Check elasticity_method counts in the coverage summary. If many sectors are ACF_cd, consider pooling 4-digit codes to 3-digit for those sectors.</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NA markups for firms with positive elasticities</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alpha_m = M / GO is NA or zero. Check that M and GO are non-missing and positive in the EAM data before the merge. The winsorization step uses GO &gt; 0 as a filter, but the markdown merge uses the original EAM file.</w:t>
            </w:r>
          </w:p>
        </w:tc>
      </w:tr>
      <w:tr>
        <w:tc>
          <w:tcPr>
            <w:tcW w:type="dxa" w:w="300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nu_l_imputed still NA after imputation</w:t>
            </w:r>
          </w:p>
        </w:tc>
        <w:tc>
          <w:tcPr>
            <w:tcW w:type="dxa" w:w="6360"/>
            <w:tcBorders>
              <w:top w:val="single" w:color="C8D6E0" w:sz="2"/>
              <w:left w:val="single" w:color="C8D6E0" w:sz="2"/>
              <w:bottom w:val="single" w:color="C8D6E0" w:sz="2"/>
              <w:right w:val="single" w:color="C8D6E0" w:sz="2"/>
            </w:tcBorders>
            <w:shd w:fill="FFFFFF" w:val="clear"/>
            <w:tcMar>
              <w:top w:type="dxa" w:w="60"/>
              <w:left w:type="dxa" w:w="120"/>
              <w:bottom w:type="dxa" w:w="60"/>
              <w:right w:type="dxa" w:w="120"/>
            </w:tcMar>
          </w:tcPr>
          <w:p>
            <w:r>
              <w:rPr>
                <w:rFonts w:ascii="Arial" w:cs="Arial" w:eastAsia="Arial" w:hAnsi="Arial"/>
                <w:color w:val="404040"/>
                <w:sz w:val="20"/>
                <w:szCs w:val="20"/>
              </w:rPr>
              <w:t xml:space="preserve">The entire ISIC-4 sector has no observed nu_l (nu_l_impute_method = 'missing'). This means neither elasticities nor positive cost shares exist for that sector. Consider dropping those observations or imputing from a broader sector group.</w:t>
            </w:r>
          </w:p>
        </w:tc>
      </w:tr>
      <w:tr>
        <w:tc>
          <w:tcPr>
            <w:tcW w:type="dxa" w:w="300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optimx Rvmmin error in console</w:t>
            </w:r>
          </w:p>
        </w:tc>
        <w:tc>
          <w:tcPr>
            <w:tcW w:type="dxa" w:w="6360"/>
            <w:tcBorders>
              <w:top w:val="single" w:color="C8D6E0" w:sz="2"/>
              <w:left w:val="single" w:color="C8D6E0" w:sz="2"/>
              <w:bottom w:val="single" w:color="C8D6E0" w:sz="2"/>
              <w:right w:val="single" w:color="C8D6E0" w:sz="2"/>
            </w:tcBorders>
            <w:shd w:fill="F2F2F2" w:val="clear"/>
            <w:tcMar>
              <w:top w:type="dxa" w:w="60"/>
              <w:left w:type="dxa" w:w="120"/>
              <w:bottom w:type="dxa" w:w="60"/>
              <w:right w:type="dxa" w:w="120"/>
            </w:tcMar>
          </w:tcPr>
          <w:p>
            <w:r>
              <w:rPr>
                <w:rFonts w:ascii="Arial" w:cs="Arial" w:eastAsia="Arial" w:hAnsi="Arial"/>
                <w:color w:val="404040"/>
                <w:sz w:val="20"/>
                <w:szCs w:val="20"/>
              </w:rPr>
              <w:t xml:space="preserve">Non-fatal warning. The Rvmmin fallback can fail on degenerate surfaces; run_gmm() catches the error and returns the Nelder-Mead result instead. Check the sector's n_tier1/n_tier2 counts to confirm observations were still filled.</w:t>
            </w:r>
          </w:p>
        </w:tc>
      </w:tr>
    </w:tbl>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12. Data Flow Summary</w:t>
      </w:r>
    </w:p>
    <w:p>
      <w:pPr>
        <w:spacing w:before="0" w:after="0"/>
      </w:pPr>
      <w:r>
        <w:rPr>
          <w:rFonts w:ascii="Arial" w:cs="Arial" w:eastAsia="Arial" w:hAnsi="Arial"/>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EAM.parquet  (raw survey data)</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Section 0B: Winsorize GO, K, L, M (sector × year cells)</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Section 4: Sector loop (4-digit ISIC)</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First-stage OLS → phi (productivity proxy)</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TIER 1: DLW Translog GMM (10 params)</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 if converged &amp; positive → beta_k/l/m + method = 'DLW_translog'</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TIER 2: ACF Cobb-Douglas GMM (4 params)  [fills remaining NAs]</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if converged &amp; positive → beta_k/l/m + method = 'ACF_cd'</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Section 5: bind_rows → elasticities_DLW_ISIC4.parquet</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EAM.parquet (reloaded clean)</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left_join elasticities on (id_firm, year, isic4)</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Compute: alpha_k, alpha_l, alpha_m</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Compute: mu_m  = beta_m_DLW / alpha_m</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Compute: nu_l  = (beta_l_DLW / alpha_l) / mu_m</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Impute nu_l:</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Step 1: forward/backward fill within firm</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Step 2: ISIC-4 sector median for fully missing firms</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Compute: nu_l_inv = 1 / nu_l_imputed</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w:t>
            </w:r>
          </w:p>
        </w:tc>
      </w:tr>
      <w:tr>
        <w:tc>
          <w:tcPr>
            <w:tcW w:type="dxa" w:w="9360"/>
            <w:tcBorders>
              <w:top w:val="single" w:color="C8D6E0" w:sz="4"/>
              <w:left w:val="single" w:color="C8D6E0" w:sz="4"/>
              <w:bottom w:val="single" w:color="C8D6E0" w:sz="4"/>
              <w:right w:val="single" w:color="C8D6E0" w:sz="4"/>
            </w:tcBorders>
            <w:shd w:fill="F4F6F8" w:val="clear"/>
            <w:tcMar>
              <w:top w:type="dxa" w:w="60"/>
              <w:left w:type="dxa" w:w="200"/>
              <w:bottom w:type="dxa" w:w="0"/>
              <w:right w:type="dxa" w:w="200"/>
            </w:tcMar>
          </w:tcPr>
          <w:p>
            <w:pPr>
              <w:spacing w:before="0" w:after="0"/>
            </w:pPr>
            <w:r>
              <w:rPr>
                <w:rFonts w:ascii="Courier New" w:cs="Courier New" w:eastAsia="Courier New" w:hAnsi="Courier New"/>
                <w:sz w:val="18"/>
                <w:szCs w:val="18"/>
              </w:rPr>
              <w:t xml:space="preserve">    └─ Save: work_EAM.parquet</w:t>
            </w:r>
          </w:p>
        </w:tc>
      </w:tr>
    </w:tbl>
    <w:p>
      <w:pPr>
        <w:spacing w:before="0" w:after="0"/>
      </w:pPr>
      <w:r>
        <w:rPr>
          <w:rFonts w:ascii="Arial" w:cs="Arial" w:eastAsia="Arial" w:hAnsi="Arial"/>
          <w:sz w:val="100"/>
          <w:szCs w:val="100"/>
        </w:rPr>
        <w:t xml:space="preserve"/>
      </w:r>
    </w:p>
    <w:p>
      <w:pPr>
        <w:pStyle w:val="Heading1"/>
        <w:pBdr>
          <w:bottom w:val="single" w:color="2E75B6" w:sz="6" w:space="6"/>
        </w:pBdr>
        <w:spacing w:before="360" w:after="180"/>
      </w:pPr>
      <w:r>
        <w:rPr>
          <w:rFonts w:ascii="Arial" w:cs="Arial" w:eastAsia="Arial" w:hAnsi="Arial"/>
          <w:b/>
          <w:bCs/>
          <w:color w:val="1F3864"/>
          <w:sz w:val="36"/>
          <w:szCs w:val="36"/>
        </w:rPr>
        <w:t xml:space="preserve">13. Key References</w:t>
      </w:r>
    </w:p>
    <w:p>
      <w:pPr>
        <w:spacing w:before="0" w:after="0"/>
      </w:pPr>
      <w:r>
        <w:rPr>
          <w:rFonts w:ascii="Arial" w:cs="Arial" w:eastAsia="Arial" w:hAnsi="Arial"/>
          <w:sz w:val="60"/>
          <w:szCs w:val="60"/>
        </w:rPr>
        <w:t xml:space="preserve"/>
      </w:r>
    </w:p>
    <w:p>
      <w:pPr>
        <w:spacing w:before="80" w:after="80"/>
      </w:pPr>
      <w:r>
        <w:rPr>
          <w:rFonts w:ascii="Arial" w:cs="Arial" w:eastAsia="Arial" w:hAnsi="Arial"/>
          <w:color w:val="404040"/>
          <w:sz w:val="22"/>
          <w:szCs w:val="22"/>
        </w:rPr>
        <w:t xml:space="preserve">De Loecker, J. &amp; Warzynski, F. (2012). </w:t>
      </w:r>
      <w:r>
        <w:rPr>
          <w:rFonts w:ascii="Arial" w:cs="Arial" w:eastAsia="Arial" w:hAnsi="Arial"/>
          <w:i/>
          <w:iCs/>
          <w:color w:val="404040"/>
          <w:sz w:val="22"/>
          <w:szCs w:val="22"/>
        </w:rPr>
        <w:t xml:space="preserve">Markups and Firm-Level Export Status. </w:t>
      </w:r>
      <w:r>
        <w:rPr>
          <w:rFonts w:ascii="Arial" w:cs="Arial" w:eastAsia="Arial" w:hAnsi="Arial"/>
          <w:color w:val="404040"/>
          <w:sz w:val="22"/>
          <w:szCs w:val="22"/>
        </w:rPr>
        <w:t xml:space="preserve">American Economic Review, 102(6), 2437–2471.</w:t>
      </w:r>
    </w:p>
    <w:p>
      <w:pPr>
        <w:spacing w:before="0" w:after="0"/>
      </w:pPr>
      <w:r>
        <w:rPr>
          <w:rFonts w:ascii="Arial" w:cs="Arial" w:eastAsia="Arial" w:hAnsi="Arial"/>
          <w:sz w:val="40"/>
          <w:szCs w:val="40"/>
        </w:rPr>
        <w:t xml:space="preserve"/>
      </w:r>
    </w:p>
    <w:p>
      <w:pPr>
        <w:spacing w:before="80" w:after="80"/>
      </w:pPr>
      <w:r>
        <w:rPr>
          <w:rFonts w:ascii="Arial" w:cs="Arial" w:eastAsia="Arial" w:hAnsi="Arial"/>
          <w:color w:val="404040"/>
          <w:sz w:val="22"/>
          <w:szCs w:val="22"/>
        </w:rPr>
        <w:t xml:space="preserve">Ackerberg, D., Caves, K. &amp; Frazer, G. (2015). </w:t>
      </w:r>
      <w:r>
        <w:rPr>
          <w:rFonts w:ascii="Arial" w:cs="Arial" w:eastAsia="Arial" w:hAnsi="Arial"/>
          <w:i/>
          <w:iCs/>
          <w:color w:val="404040"/>
          <w:sz w:val="22"/>
          <w:szCs w:val="22"/>
        </w:rPr>
        <w:t xml:space="preserve">Identification Properties of Recent Production Function Estimators. </w:t>
      </w:r>
      <w:r>
        <w:rPr>
          <w:rFonts w:ascii="Arial" w:cs="Arial" w:eastAsia="Arial" w:hAnsi="Arial"/>
          <w:color w:val="404040"/>
          <w:sz w:val="22"/>
          <w:szCs w:val="22"/>
        </w:rPr>
        <w:t xml:space="preserve">Econometrica, 83(6), 2411–2451.</w:t>
      </w:r>
    </w:p>
    <w:p>
      <w:pPr>
        <w:spacing w:before="0" w:after="0"/>
      </w:pPr>
      <w:r>
        <w:rPr>
          <w:rFonts w:ascii="Arial" w:cs="Arial" w:eastAsia="Arial" w:hAnsi="Arial"/>
          <w:sz w:val="40"/>
          <w:szCs w:val="40"/>
        </w:rPr>
        <w:t xml:space="preserve"/>
      </w:r>
    </w:p>
    <w:p>
      <w:pPr>
        <w:spacing w:before="80" w:after="80"/>
      </w:pPr>
      <w:r>
        <w:rPr>
          <w:rFonts w:ascii="Arial" w:cs="Arial" w:eastAsia="Arial" w:hAnsi="Arial"/>
          <w:color w:val="404040"/>
          <w:sz w:val="22"/>
          <w:szCs w:val="22"/>
        </w:rPr>
        <w:t xml:space="preserve">Levinsohn, J. &amp; Petrin, A. (2003). </w:t>
      </w:r>
      <w:r>
        <w:rPr>
          <w:rFonts w:ascii="Arial" w:cs="Arial" w:eastAsia="Arial" w:hAnsi="Arial"/>
          <w:i/>
          <w:iCs/>
          <w:color w:val="404040"/>
          <w:sz w:val="22"/>
          <w:szCs w:val="22"/>
        </w:rPr>
        <w:t xml:space="preserve">Estimating Production Functions Using Inputs to Control for Unobservables. </w:t>
      </w:r>
      <w:r>
        <w:rPr>
          <w:rFonts w:ascii="Arial" w:cs="Arial" w:eastAsia="Arial" w:hAnsi="Arial"/>
          <w:color w:val="404040"/>
          <w:sz w:val="22"/>
          <w:szCs w:val="22"/>
        </w:rPr>
        <w:t xml:space="preserve">Review of Economic Studies, 70(2), 317–341.</w:t>
      </w:r>
    </w:p>
    <w:p>
      <w:pPr>
        <w:spacing w:before="0" w:after="0"/>
      </w:pPr>
      <w:r>
        <w:rPr>
          <w:rFonts w:ascii="Arial" w:cs="Arial" w:eastAsia="Arial" w:hAnsi="Arial"/>
          <w:sz w:val="40"/>
          <w:szCs w:val="40"/>
        </w:rPr>
        <w:t xml:space="preserve"/>
      </w:r>
    </w:p>
    <w:p>
      <w:pPr>
        <w:spacing w:before="80" w:after="80"/>
      </w:pPr>
      <w:r>
        <w:rPr>
          <w:rFonts w:ascii="Arial" w:cs="Arial" w:eastAsia="Arial" w:hAnsi="Arial"/>
          <w:color w:val="404040"/>
          <w:sz w:val="22"/>
          <w:szCs w:val="22"/>
        </w:rPr>
        <w:t xml:space="preserve">Olley, G.S. &amp; Pakes, A. (1996). </w:t>
      </w:r>
      <w:r>
        <w:rPr>
          <w:rFonts w:ascii="Arial" w:cs="Arial" w:eastAsia="Arial" w:hAnsi="Arial"/>
          <w:i/>
          <w:iCs/>
          <w:color w:val="404040"/>
          <w:sz w:val="22"/>
          <w:szCs w:val="22"/>
        </w:rPr>
        <w:t xml:space="preserve">The Dynamics of Productivity in the Telecommunications Equipment Industry. </w:t>
      </w:r>
      <w:r>
        <w:rPr>
          <w:rFonts w:ascii="Arial" w:cs="Arial" w:eastAsia="Arial" w:hAnsi="Arial"/>
          <w:color w:val="404040"/>
          <w:sz w:val="22"/>
          <w:szCs w:val="22"/>
        </w:rPr>
        <w:t xml:space="preserve">Econometrica, 64(6), 1263–1297.</w:t>
      </w:r>
    </w:p>
    <w:p>
      <w:pPr>
        <w:spacing w:before="0" w:after="0"/>
      </w:pPr>
      <w:r>
        <w:rPr>
          <w:rFonts w:ascii="Arial" w:cs="Arial" w:eastAsia="Arial" w:hAnsi="Arial"/>
          <w:sz w:val="60"/>
          <w:szCs w:val="60"/>
        </w:rP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DLW Elasticities &amp; Markdowns — Technical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2026-03-23T03:13:11.224Z</dcterms:created>
  <dcterms:modified xsi:type="dcterms:W3CDTF">2026-03-23T03:13:11.225Z</dcterms:modified>
</cp:coreProperties>
</file>

<file path=docProps/custom.xml><?xml version="1.0" encoding="utf-8"?>
<Properties xmlns="http://schemas.openxmlformats.org/officeDocument/2006/custom-properties" xmlns:vt="http://schemas.openxmlformats.org/officeDocument/2006/docPropsVTypes"/>
</file>