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78336" w14:textId="77777777" w:rsidR="00E2564F" w:rsidRDefault="00E2564F" w:rsidP="00E2564F">
      <w:pPr>
        <w:rPr>
          <w:rFonts w:ascii="CMU Serif" w:hAnsi="CMU Serif" w:cs="CMU Serif"/>
          <w:b/>
          <w:bCs/>
        </w:rPr>
      </w:pPr>
      <w:r w:rsidRPr="00C10377">
        <w:rPr>
          <w:rFonts w:ascii="CMU Serif" w:hAnsi="CMU Serif" w:cs="CMU Serif"/>
          <w:b/>
          <w:bCs/>
        </w:rPr>
        <w:t>Literature Review</w:t>
      </w:r>
    </w:p>
    <w:p w14:paraId="78918EAC" w14:textId="77777777" w:rsidR="00E2564F" w:rsidRDefault="00E2564F" w:rsidP="00E2564F">
      <w:pPr>
        <w:rPr>
          <w:rFonts w:ascii="CMU Serif" w:hAnsi="CMU Serif" w:cs="CMU Serif"/>
        </w:rPr>
      </w:pPr>
      <w:r>
        <w:rPr>
          <w:rFonts w:ascii="CMU Serif" w:hAnsi="CMU Serif" w:cs="CMU Serif"/>
        </w:rPr>
        <w:t>This research is inspired by the Development in the Americas Markets for Development Improving Lives Through Competition by the Inter-American Development Bank 2026.</w:t>
      </w:r>
    </w:p>
    <w:p w14:paraId="031B5772" w14:textId="77777777" w:rsidR="00E2564F" w:rsidRDefault="00E2564F" w:rsidP="00E2564F">
      <w:pPr>
        <w:rPr>
          <w:rFonts w:ascii="CMU Serif" w:hAnsi="CMU Serif" w:cs="CMU Serif"/>
        </w:rPr>
      </w:pPr>
      <w:r>
        <w:rPr>
          <w:rFonts w:ascii="CMU Serif" w:hAnsi="CMU Serif" w:cs="CMU Serif"/>
        </w:rPr>
        <w:t>This report highlights that Latin-</w:t>
      </w:r>
      <w:proofErr w:type="gramStart"/>
      <w:r>
        <w:rPr>
          <w:rFonts w:ascii="CMU Serif" w:hAnsi="CMU Serif" w:cs="CMU Serif"/>
        </w:rPr>
        <w:t>America</w:t>
      </w:r>
      <w:proofErr w:type="gramEnd"/>
      <w:r>
        <w:rPr>
          <w:rFonts w:ascii="CMU Serif" w:hAnsi="CMU Serif" w:cs="CMU Serif"/>
        </w:rPr>
        <w:t xml:space="preserve"> and the Caribbean have an important challenge in terms of competition. </w:t>
      </w:r>
      <w:r w:rsidRPr="009230ED">
        <w:rPr>
          <w:rFonts w:ascii="CMU Serif" w:hAnsi="CMU Serif" w:cs="CMU Serif"/>
        </w:rPr>
        <w:t>On average, workers in Latin America and the Caribbean take home</w:t>
      </w:r>
      <w:r>
        <w:rPr>
          <w:rFonts w:ascii="CMU Serif" w:hAnsi="CMU Serif" w:cs="CMU Serif"/>
        </w:rPr>
        <w:t xml:space="preserve"> </w:t>
      </w:r>
      <w:r w:rsidRPr="009230ED">
        <w:rPr>
          <w:rFonts w:ascii="CMU Serif" w:hAnsi="CMU Serif" w:cs="CMU Serif"/>
        </w:rPr>
        <w:t>in the form of wages 50 percent of what they contribute to their employers.</w:t>
      </w:r>
      <w:r>
        <w:rPr>
          <w:rFonts w:ascii="CMU Serif" w:hAnsi="CMU Serif" w:cs="CMU Serif"/>
        </w:rPr>
        <w:t xml:space="preserve"> </w:t>
      </w:r>
      <w:r w:rsidRPr="009230ED">
        <w:rPr>
          <w:rFonts w:ascii="CMU Serif" w:hAnsi="CMU Serif" w:cs="CMU Serif"/>
        </w:rPr>
        <w:t xml:space="preserve">In contrast, </w:t>
      </w:r>
      <w:r>
        <w:rPr>
          <w:rFonts w:ascii="CMU Serif" w:hAnsi="CMU Serif" w:cs="CMU Serif"/>
        </w:rPr>
        <w:t xml:space="preserve">in the U.S. </w:t>
      </w:r>
      <w:r w:rsidRPr="009230ED">
        <w:rPr>
          <w:rFonts w:ascii="CMU Serif" w:hAnsi="CMU Serif" w:cs="CMU Serif"/>
        </w:rPr>
        <w:t>they take home 65 percent and</w:t>
      </w:r>
      <w:r>
        <w:rPr>
          <w:rFonts w:ascii="CMU Serif" w:hAnsi="CMU Serif" w:cs="CMU Serif"/>
        </w:rPr>
        <w:t xml:space="preserve"> in other advanced economies</w:t>
      </w:r>
      <w:r w:rsidRPr="009230ED">
        <w:rPr>
          <w:rFonts w:ascii="CMU Serif" w:hAnsi="CMU Serif" w:cs="CMU Serif"/>
        </w:rPr>
        <w:t xml:space="preserve"> 81 percent</w:t>
      </w:r>
      <w:r>
        <w:rPr>
          <w:rFonts w:ascii="CMU Serif" w:hAnsi="CMU Serif" w:cs="CMU Serif"/>
        </w:rPr>
        <w:t>. In Colombia, the average markdown is 49 cents per dollar contributed to the firms.</w:t>
      </w:r>
    </w:p>
    <w:p w14:paraId="4AF666BD" w14:textId="77777777" w:rsidR="00E2564F" w:rsidRDefault="00E2564F" w:rsidP="00E2564F">
      <w:pPr>
        <w:rPr>
          <w:rFonts w:ascii="CMU Serif" w:hAnsi="CMU Serif" w:cs="CMU Serif"/>
        </w:rPr>
      </w:pPr>
      <w:r>
        <w:rPr>
          <w:rFonts w:ascii="CMU Serif" w:hAnsi="CMU Serif" w:cs="CMU Serif"/>
        </w:rPr>
        <w:t xml:space="preserve">Similar numbers are found by </w:t>
      </w:r>
      <w:r w:rsidRPr="00E9069C">
        <w:rPr>
          <w:rFonts w:ascii="CMU Serif" w:hAnsi="CMU Serif" w:cs="CMU Serif"/>
        </w:rPr>
        <w:t>Amodio et al. (2024)</w:t>
      </w:r>
      <w:r>
        <w:rPr>
          <w:rFonts w:ascii="CMU Serif" w:hAnsi="CMU Serif" w:cs="CMU Serif"/>
        </w:rPr>
        <w:t xml:space="preserve">, and </w:t>
      </w:r>
      <w:r w:rsidRPr="00E9069C">
        <w:rPr>
          <w:rFonts w:ascii="CMU Serif" w:hAnsi="CMU Serif" w:cs="CMU Serif"/>
        </w:rPr>
        <w:t>Eslava, García-Marin,</w:t>
      </w:r>
      <w:r>
        <w:rPr>
          <w:rFonts w:ascii="CMU Serif" w:hAnsi="CMU Serif" w:cs="CMU Serif"/>
        </w:rPr>
        <w:t xml:space="preserve"> </w:t>
      </w:r>
      <w:r w:rsidRPr="00E9069C">
        <w:rPr>
          <w:rFonts w:ascii="CMU Serif" w:hAnsi="CMU Serif" w:cs="CMU Serif"/>
        </w:rPr>
        <w:t>and Messina (2025)</w:t>
      </w:r>
      <w:r>
        <w:rPr>
          <w:rFonts w:ascii="CMU Serif" w:hAnsi="CMU Serif" w:cs="CMU Serif"/>
        </w:rPr>
        <w:t xml:space="preserve">, </w:t>
      </w:r>
      <w:proofErr w:type="spellStart"/>
      <w:r w:rsidRPr="00E9069C">
        <w:rPr>
          <w:rFonts w:ascii="CMU Serif" w:hAnsi="CMU Serif" w:cs="CMU Serif"/>
        </w:rPr>
        <w:t>Tortarolo</w:t>
      </w:r>
      <w:proofErr w:type="spellEnd"/>
      <w:r w:rsidRPr="00E9069C">
        <w:rPr>
          <w:rFonts w:ascii="CMU Serif" w:hAnsi="CMU Serif" w:cs="CMU Serif"/>
        </w:rPr>
        <w:t xml:space="preserve"> and Zarate 2018</w:t>
      </w:r>
      <w:r>
        <w:rPr>
          <w:rFonts w:ascii="CMU Serif" w:hAnsi="CMU Serif" w:cs="CMU Serif"/>
        </w:rPr>
        <w:t>.</w:t>
      </w:r>
    </w:p>
    <w:p w14:paraId="69D02E96" w14:textId="77777777" w:rsidR="00E2564F" w:rsidRDefault="00E2564F" w:rsidP="00E2564F">
      <w:pPr>
        <w:rPr>
          <w:rFonts w:ascii="CMU Serif" w:hAnsi="CMU Serif" w:cs="CMU Serif"/>
        </w:rPr>
      </w:pPr>
      <w:r>
        <w:rPr>
          <w:rFonts w:ascii="CMU Serif" w:hAnsi="CMU Serif" w:cs="CMU Serif"/>
        </w:rPr>
        <w:t>They estimate that reducing labor market power would rise GDP per capita by as much as 25 percent.</w:t>
      </w:r>
    </w:p>
    <w:p w14:paraId="72981DBC" w14:textId="77777777" w:rsidR="00E2564F" w:rsidRPr="00E71ABB" w:rsidRDefault="00E2564F" w:rsidP="00E2564F">
      <w:pPr>
        <w:rPr>
          <w:rFonts w:ascii="CMU Serif" w:hAnsi="CMU Serif" w:cs="CMU Serif"/>
          <w:b/>
          <w:bCs/>
        </w:rPr>
      </w:pPr>
      <w:r w:rsidRPr="00E71ABB">
        <w:rPr>
          <w:rFonts w:ascii="CMU Serif" w:hAnsi="CMU Serif" w:cs="CMU Serif"/>
          <w:b/>
          <w:bCs/>
        </w:rPr>
        <w:t>DIA Literature review</w:t>
      </w:r>
    </w:p>
    <w:p w14:paraId="50B9AF0E" w14:textId="77777777" w:rsidR="00E2564F" w:rsidRDefault="00E2564F" w:rsidP="00E2564F">
      <w:pPr>
        <w:rPr>
          <w:rFonts w:ascii="CMU Serif" w:hAnsi="CMU Serif" w:cs="CMU Serif"/>
        </w:rPr>
      </w:pPr>
      <w:r w:rsidRPr="00E71ABB">
        <w:rPr>
          <w:rFonts w:ascii="CMU Serif" w:hAnsi="CMU Serif" w:cs="CMU Serif"/>
        </w:rPr>
        <w:t>Labor market power can arise for several reasons, including</w:t>
      </w:r>
      <w:r>
        <w:rPr>
          <w:rFonts w:ascii="CMU Serif" w:hAnsi="CMU Serif" w:cs="CMU Serif"/>
        </w:rPr>
        <w:t xml:space="preserve"> </w:t>
      </w:r>
      <w:r w:rsidRPr="00E71ABB">
        <w:rPr>
          <w:rFonts w:ascii="CMU Serif" w:hAnsi="CMU Serif" w:cs="CMU Serif"/>
        </w:rPr>
        <w:t>a limited number of employers, varying job amenities, or information</w:t>
      </w:r>
      <w:r>
        <w:rPr>
          <w:rFonts w:ascii="CMU Serif" w:hAnsi="CMU Serif" w:cs="CMU Serif"/>
        </w:rPr>
        <w:t xml:space="preserve"> </w:t>
      </w:r>
      <w:r w:rsidRPr="00E71ABB">
        <w:rPr>
          <w:rFonts w:ascii="CMU Serif" w:hAnsi="CMU Serif" w:cs="CMU Serif"/>
        </w:rPr>
        <w:t>frictions; see recent reviews by Manning (2021), Card (2022), and Azar and</w:t>
      </w:r>
      <w:r>
        <w:rPr>
          <w:rFonts w:ascii="CMU Serif" w:hAnsi="CMU Serif" w:cs="CMU Serif"/>
        </w:rPr>
        <w:t xml:space="preserve"> </w:t>
      </w:r>
      <w:r w:rsidRPr="00E71ABB">
        <w:rPr>
          <w:rFonts w:ascii="CMU Serif" w:hAnsi="CMU Serif" w:cs="CMU Serif"/>
        </w:rPr>
        <w:t>Marinescu (2024)</w:t>
      </w:r>
    </w:p>
    <w:p w14:paraId="7E7D8C5E" w14:textId="77777777" w:rsidR="00E2564F" w:rsidRDefault="00E2564F" w:rsidP="00E2564F">
      <w:pPr>
        <w:rPr>
          <w:rFonts w:ascii="CMU Serif" w:hAnsi="CMU Serif" w:cs="CMU Serif"/>
        </w:rPr>
      </w:pPr>
      <w:r w:rsidRPr="00E71ABB">
        <w:rPr>
          <w:rFonts w:ascii="CMU Serif" w:hAnsi="CMU Serif" w:cs="CMU Serif"/>
        </w:rPr>
        <w:t>Individual bargaining power, strengthened by outside job</w:t>
      </w:r>
      <w:r>
        <w:rPr>
          <w:rFonts w:ascii="CMU Serif" w:hAnsi="CMU Serif" w:cs="CMU Serif"/>
        </w:rPr>
        <w:t xml:space="preserve"> </w:t>
      </w:r>
      <w:r w:rsidRPr="00E71ABB">
        <w:rPr>
          <w:rFonts w:ascii="CMU Serif" w:hAnsi="CMU Serif" w:cs="CMU Serif"/>
        </w:rPr>
        <w:t>options or negotiation skills, can raise a worker’s wage and reduce the worker’s</w:t>
      </w:r>
      <w:r>
        <w:rPr>
          <w:rFonts w:ascii="CMU Serif" w:hAnsi="CMU Serif" w:cs="CMU Serif"/>
        </w:rPr>
        <w:t xml:space="preserve"> </w:t>
      </w:r>
      <w:r w:rsidRPr="00E71ABB">
        <w:rPr>
          <w:rFonts w:ascii="CMU Serif" w:hAnsi="CMU Serif" w:cs="CMU Serif"/>
        </w:rPr>
        <w:t>personal markdown (Hall and Krueger 2010).</w:t>
      </w:r>
      <w:r>
        <w:rPr>
          <w:rFonts w:ascii="CMU Serif" w:hAnsi="CMU Serif" w:cs="CMU Serif"/>
        </w:rPr>
        <w:t xml:space="preserve"> </w:t>
      </w:r>
      <w:r w:rsidRPr="00BF6199">
        <w:rPr>
          <w:rFonts w:ascii="CMU Serif" w:hAnsi="CMU Serif" w:cs="CMU Serif"/>
        </w:rPr>
        <w:t>When workers have</w:t>
      </w:r>
      <w:r>
        <w:rPr>
          <w:rFonts w:ascii="CMU Serif" w:hAnsi="CMU Serif" w:cs="CMU Serif"/>
        </w:rPr>
        <w:t xml:space="preserve"> </w:t>
      </w:r>
      <w:r w:rsidRPr="00BF6199">
        <w:rPr>
          <w:rFonts w:ascii="CMU Serif" w:hAnsi="CMU Serif" w:cs="CMU Serif"/>
        </w:rPr>
        <w:t>good outside options and can more easily switch jobs (Schubert, Stansbury,</w:t>
      </w:r>
      <w:r>
        <w:rPr>
          <w:rFonts w:ascii="CMU Serif" w:hAnsi="CMU Serif" w:cs="CMU Serif"/>
        </w:rPr>
        <w:t xml:space="preserve"> </w:t>
      </w:r>
      <w:r w:rsidRPr="00BF6199">
        <w:rPr>
          <w:rFonts w:ascii="CMU Serif" w:hAnsi="CMU Serif" w:cs="CMU Serif"/>
        </w:rPr>
        <w:t>and Taska 2022), firms must offer competitive wages and benefits to attract</w:t>
      </w:r>
      <w:r>
        <w:rPr>
          <w:rFonts w:ascii="CMU Serif" w:hAnsi="CMU Serif" w:cs="CMU Serif"/>
        </w:rPr>
        <w:t xml:space="preserve"> </w:t>
      </w:r>
      <w:r w:rsidRPr="00BF6199">
        <w:rPr>
          <w:rFonts w:ascii="CMU Serif" w:hAnsi="CMU Serif" w:cs="CMU Serif"/>
        </w:rPr>
        <w:t>and retain talent, strengthening workers’ bargaining power.</w:t>
      </w:r>
    </w:p>
    <w:p w14:paraId="317EDBA6" w14:textId="77777777" w:rsidR="00E2564F" w:rsidRDefault="00E2564F" w:rsidP="00E2564F">
      <w:pPr>
        <w:rPr>
          <w:rFonts w:ascii="CMU Serif" w:hAnsi="CMU Serif" w:cs="CMU Serif"/>
        </w:rPr>
      </w:pPr>
      <w:r w:rsidRPr="00E71ABB">
        <w:rPr>
          <w:rFonts w:ascii="CMU Serif" w:hAnsi="CMU Serif" w:cs="CMU Serif"/>
        </w:rPr>
        <w:t>If job search and matching are costly, however, competition</w:t>
      </w:r>
      <w:r>
        <w:rPr>
          <w:rFonts w:ascii="CMU Serif" w:hAnsi="CMU Serif" w:cs="CMU Serif"/>
        </w:rPr>
        <w:t xml:space="preserve"> </w:t>
      </w:r>
      <w:r w:rsidRPr="00E71ABB">
        <w:rPr>
          <w:rFonts w:ascii="CMU Serif" w:hAnsi="CMU Serif" w:cs="CMU Serif"/>
        </w:rPr>
        <w:t>remains limited even when many employers are present (Manning</w:t>
      </w:r>
      <w:r>
        <w:rPr>
          <w:rFonts w:ascii="CMU Serif" w:hAnsi="CMU Serif" w:cs="CMU Serif"/>
        </w:rPr>
        <w:t xml:space="preserve"> </w:t>
      </w:r>
      <w:r w:rsidRPr="00E71ABB">
        <w:rPr>
          <w:rFonts w:ascii="CMU Serif" w:hAnsi="CMU Serif" w:cs="CMU Serif"/>
        </w:rPr>
        <w:t xml:space="preserve">2003; Mortensen 2010; </w:t>
      </w:r>
      <w:proofErr w:type="spellStart"/>
      <w:r w:rsidRPr="00E71ABB">
        <w:rPr>
          <w:rFonts w:ascii="CMU Serif" w:hAnsi="CMU Serif" w:cs="CMU Serif"/>
        </w:rPr>
        <w:t>Moscarini</w:t>
      </w:r>
      <w:proofErr w:type="spellEnd"/>
      <w:r w:rsidRPr="00E71ABB">
        <w:rPr>
          <w:rFonts w:ascii="CMU Serif" w:hAnsi="CMU Serif" w:cs="CMU Serif"/>
        </w:rPr>
        <w:t xml:space="preserve"> and Postel-Vinay 2010).</w:t>
      </w:r>
    </w:p>
    <w:p w14:paraId="6ABD3F8D" w14:textId="77777777" w:rsidR="00E2564F" w:rsidRDefault="00E2564F" w:rsidP="00E2564F">
      <w:pPr>
        <w:rPr>
          <w:rFonts w:ascii="CMU Serif" w:hAnsi="CMU Serif" w:cs="CMU Serif"/>
        </w:rPr>
      </w:pPr>
      <w:r w:rsidRPr="00E71ABB">
        <w:rPr>
          <w:rFonts w:ascii="CMU Serif" w:hAnsi="CMU Serif" w:cs="CMU Serif"/>
        </w:rPr>
        <w:t>Collective bargaining can</w:t>
      </w:r>
      <w:r>
        <w:rPr>
          <w:rFonts w:ascii="CMU Serif" w:hAnsi="CMU Serif" w:cs="CMU Serif"/>
        </w:rPr>
        <w:t xml:space="preserve"> </w:t>
      </w:r>
      <w:r w:rsidRPr="00E71ABB">
        <w:rPr>
          <w:rFonts w:ascii="CMU Serif" w:hAnsi="CMU Serif" w:cs="CMU Serif"/>
        </w:rPr>
        <w:t>shield broader groups of workers from monopsony power by setting higher</w:t>
      </w:r>
      <w:r>
        <w:rPr>
          <w:rFonts w:ascii="CMU Serif" w:hAnsi="CMU Serif" w:cs="CMU Serif"/>
        </w:rPr>
        <w:t xml:space="preserve"> </w:t>
      </w:r>
      <w:r w:rsidRPr="00E71ABB">
        <w:rPr>
          <w:rFonts w:ascii="CMU Serif" w:hAnsi="CMU Serif" w:cs="CMU Serif"/>
        </w:rPr>
        <w:t>wage floors, standardizing pay, and reducing wage inequality (Farber et al.</w:t>
      </w:r>
      <w:r>
        <w:rPr>
          <w:rFonts w:ascii="CMU Serif" w:hAnsi="CMU Serif" w:cs="CMU Serif"/>
        </w:rPr>
        <w:t xml:space="preserve"> </w:t>
      </w:r>
      <w:r w:rsidRPr="00E71ABB">
        <w:rPr>
          <w:rFonts w:ascii="CMU Serif" w:hAnsi="CMU Serif" w:cs="CMU Serif"/>
        </w:rPr>
        <w:t>2021).</w:t>
      </w:r>
    </w:p>
    <w:p w14:paraId="793BF2AA" w14:textId="77777777" w:rsidR="00E2564F" w:rsidRDefault="00E2564F" w:rsidP="00E2564F">
      <w:pPr>
        <w:rPr>
          <w:rFonts w:ascii="CMU Serif" w:hAnsi="CMU Serif" w:cs="CMU Serif"/>
        </w:rPr>
      </w:pPr>
      <w:r w:rsidRPr="00BF6199">
        <w:rPr>
          <w:rFonts w:ascii="CMU Serif" w:hAnsi="CMU Serif" w:cs="CMU Serif"/>
        </w:rPr>
        <w:t>The literature documents a negative relationship between HHI and wages.</w:t>
      </w:r>
      <w:r>
        <w:rPr>
          <w:rFonts w:ascii="CMU Serif" w:hAnsi="CMU Serif" w:cs="CMU Serif"/>
        </w:rPr>
        <w:t xml:space="preserve"> </w:t>
      </w:r>
      <w:r w:rsidRPr="00BF6199">
        <w:rPr>
          <w:rFonts w:ascii="CMU Serif" w:hAnsi="CMU Serif" w:cs="CMU Serif"/>
        </w:rPr>
        <w:t>Azar, Marinescu, and Steinbaum (2017) and Azar et al. (2019) estimate that</w:t>
      </w:r>
      <w:r>
        <w:rPr>
          <w:rFonts w:ascii="CMU Serif" w:hAnsi="CMU Serif" w:cs="CMU Serif"/>
        </w:rPr>
        <w:t xml:space="preserve"> </w:t>
      </w:r>
      <w:r w:rsidRPr="00BF6199">
        <w:rPr>
          <w:rFonts w:ascii="CMU Serif" w:hAnsi="CMU Serif" w:cs="CMU Serif"/>
        </w:rPr>
        <w:t>the elasticity of real wages with respect to HHI is around –0.1, implying</w:t>
      </w:r>
      <w:r>
        <w:rPr>
          <w:rFonts w:ascii="CMU Serif" w:hAnsi="CMU Serif" w:cs="CMU Serif"/>
        </w:rPr>
        <w:t xml:space="preserve"> </w:t>
      </w:r>
      <w:r w:rsidRPr="00BF6199">
        <w:rPr>
          <w:rFonts w:ascii="CMU Serif" w:hAnsi="CMU Serif" w:cs="CMU Serif"/>
        </w:rPr>
        <w:t xml:space="preserve">that moving from the 25th to </w:t>
      </w:r>
      <w:proofErr w:type="gramStart"/>
      <w:r w:rsidRPr="00BF6199">
        <w:rPr>
          <w:rFonts w:ascii="CMU Serif" w:hAnsi="CMU Serif" w:cs="CMU Serif"/>
        </w:rPr>
        <w:lastRenderedPageBreak/>
        <w:t>the</w:t>
      </w:r>
      <w:proofErr w:type="gramEnd"/>
      <w:r w:rsidRPr="00BF6199">
        <w:rPr>
          <w:rFonts w:ascii="CMU Serif" w:hAnsi="CMU Serif" w:cs="CMU Serif"/>
        </w:rPr>
        <w:t xml:space="preserve"> 75th percentile of concentration reduces</w:t>
      </w:r>
      <w:r>
        <w:rPr>
          <w:rFonts w:ascii="CMU Serif" w:hAnsi="CMU Serif" w:cs="CMU Serif"/>
        </w:rPr>
        <w:t xml:space="preserve"> </w:t>
      </w:r>
      <w:r w:rsidRPr="00BF6199">
        <w:rPr>
          <w:rFonts w:ascii="CMU Serif" w:hAnsi="CMU Serif" w:cs="CMU Serif"/>
        </w:rPr>
        <w:t xml:space="preserve">posted wages by 17 percent. Similar findings emerge from </w:t>
      </w:r>
      <w:proofErr w:type="spellStart"/>
      <w:r w:rsidRPr="00BF6199">
        <w:rPr>
          <w:rFonts w:ascii="CMU Serif" w:hAnsi="CMU Serif" w:cs="CMU Serif"/>
        </w:rPr>
        <w:t>Benmelech</w:t>
      </w:r>
      <w:proofErr w:type="spellEnd"/>
      <w:r w:rsidRPr="00BF6199">
        <w:rPr>
          <w:rFonts w:ascii="CMU Serif" w:hAnsi="CMU Serif" w:cs="CMU Serif"/>
        </w:rPr>
        <w:t>,</w:t>
      </w:r>
      <w:r>
        <w:rPr>
          <w:rFonts w:ascii="CMU Serif" w:hAnsi="CMU Serif" w:cs="CMU Serif"/>
        </w:rPr>
        <w:t xml:space="preserve"> </w:t>
      </w:r>
      <w:r w:rsidRPr="00BF6199">
        <w:rPr>
          <w:rFonts w:ascii="CMU Serif" w:hAnsi="CMU Serif" w:cs="CMU Serif"/>
        </w:rPr>
        <w:t>Bergman, and Kim (2018) and Rinz (2020), who use different data sources</w:t>
      </w:r>
      <w:r>
        <w:rPr>
          <w:rFonts w:ascii="CMU Serif" w:hAnsi="CMU Serif" w:cs="CMU Serif"/>
        </w:rPr>
        <w:t xml:space="preserve"> </w:t>
      </w:r>
      <w:r w:rsidRPr="00BF6199">
        <w:rPr>
          <w:rFonts w:ascii="CMU Serif" w:hAnsi="CMU Serif" w:cs="CMU Serif"/>
        </w:rPr>
        <w:t>but reach conclusions consistent with these findings.</w:t>
      </w:r>
    </w:p>
    <w:p w14:paraId="0BD959EC" w14:textId="77777777" w:rsidR="00E2564F" w:rsidRDefault="00E2564F" w:rsidP="00E2564F">
      <w:pPr>
        <w:rPr>
          <w:rFonts w:ascii="CMU Serif" w:hAnsi="CMU Serif" w:cs="CMU Serif"/>
        </w:rPr>
      </w:pPr>
      <w:r>
        <w:rPr>
          <w:rFonts w:ascii="CMU Serif" w:hAnsi="CMU Serif" w:cs="CMU Serif"/>
        </w:rPr>
        <w:t xml:space="preserve">DIA finds a relationship of markdowns with Firm-Size. </w:t>
      </w:r>
      <w:r w:rsidRPr="00E9069C">
        <w:rPr>
          <w:rFonts w:ascii="CMU Serif" w:hAnsi="CMU Serif" w:cs="CMU Serif"/>
        </w:rPr>
        <w:t>Markdowns are larger in firms with higher shares of white-collar workers</w:t>
      </w:r>
      <w:r>
        <w:rPr>
          <w:rFonts w:ascii="CMU Serif" w:hAnsi="CMU Serif" w:cs="CMU Serif"/>
        </w:rPr>
        <w:t xml:space="preserve"> </w:t>
      </w:r>
      <w:r w:rsidRPr="00E9069C">
        <w:rPr>
          <w:rFonts w:ascii="CMU Serif" w:hAnsi="CMU Serif" w:cs="CMU Serif"/>
        </w:rPr>
        <w:t>and in sectors that typically employ more highly educated workers.</w:t>
      </w:r>
    </w:p>
    <w:p w14:paraId="2C5B7772" w14:textId="77777777" w:rsidR="00E2564F" w:rsidRDefault="00E2564F" w:rsidP="00E2564F">
      <w:pPr>
        <w:rPr>
          <w:rFonts w:ascii="CMU Serif" w:hAnsi="CMU Serif" w:cs="CMU Serif"/>
        </w:rPr>
      </w:pPr>
      <w:r>
        <w:rPr>
          <w:rFonts w:ascii="CMU Serif" w:hAnsi="CMU Serif" w:cs="CMU Serif"/>
        </w:rPr>
        <w:t xml:space="preserve">DIA: </w:t>
      </w:r>
      <w:r w:rsidRPr="00BF6199">
        <w:rPr>
          <w:rFonts w:ascii="CMU Serif" w:hAnsi="CMU Serif" w:cs="CMU Serif"/>
        </w:rPr>
        <w:t>One hypothesis is that the largest, most productive firms benefit from</w:t>
      </w:r>
      <w:r>
        <w:rPr>
          <w:rFonts w:ascii="CMU Serif" w:hAnsi="CMU Serif" w:cs="CMU Serif"/>
        </w:rPr>
        <w:t xml:space="preserve"> </w:t>
      </w:r>
      <w:r w:rsidRPr="00BF6199">
        <w:rPr>
          <w:rFonts w:ascii="CMU Serif" w:hAnsi="CMU Serif" w:cs="CMU Serif"/>
        </w:rPr>
        <w:t>this market</w:t>
      </w:r>
      <w:r>
        <w:rPr>
          <w:rFonts w:ascii="CMU Serif" w:hAnsi="CMU Serif" w:cs="CMU Serif"/>
        </w:rPr>
        <w:t xml:space="preserve"> </w:t>
      </w:r>
      <w:r w:rsidRPr="00BF6199">
        <w:rPr>
          <w:rFonts w:ascii="CMU Serif" w:hAnsi="CMU Serif" w:cs="CMU Serif"/>
        </w:rPr>
        <w:t>structure; the absence of competition from mid-sized firms</w:t>
      </w:r>
      <w:r>
        <w:rPr>
          <w:rFonts w:ascii="CMU Serif" w:hAnsi="CMU Serif" w:cs="CMU Serif"/>
        </w:rPr>
        <w:t xml:space="preserve"> </w:t>
      </w:r>
      <w:r w:rsidRPr="00BF6199">
        <w:rPr>
          <w:rFonts w:ascii="CMU Serif" w:hAnsi="CMU Serif" w:cs="CMU Serif"/>
        </w:rPr>
        <w:t>enables the largest ones to</w:t>
      </w:r>
      <w:r>
        <w:rPr>
          <w:rFonts w:ascii="CMU Serif" w:hAnsi="CMU Serif" w:cs="CMU Serif"/>
        </w:rPr>
        <w:t xml:space="preserve"> </w:t>
      </w:r>
      <w:r w:rsidRPr="00BF6199">
        <w:rPr>
          <w:rFonts w:ascii="CMU Serif" w:hAnsi="CMU Serif" w:cs="CMU Serif"/>
        </w:rPr>
        <w:t>pay workers below their marginal revenue product</w:t>
      </w:r>
      <w:r>
        <w:rPr>
          <w:rFonts w:ascii="CMU Serif" w:hAnsi="CMU Serif" w:cs="CMU Serif"/>
        </w:rPr>
        <w:t xml:space="preserve"> </w:t>
      </w:r>
      <w:r w:rsidRPr="00BF6199">
        <w:rPr>
          <w:rFonts w:ascii="CMU Serif" w:hAnsi="CMU Serif" w:cs="CMU Serif"/>
        </w:rPr>
        <w:t>while still attracting top talent,</w:t>
      </w:r>
      <w:r>
        <w:rPr>
          <w:rFonts w:ascii="CMU Serif" w:hAnsi="CMU Serif" w:cs="CMU Serif"/>
        </w:rPr>
        <w:t xml:space="preserve"> </w:t>
      </w:r>
      <w:r w:rsidRPr="00BF6199">
        <w:rPr>
          <w:rFonts w:ascii="CMU Serif" w:hAnsi="CMU Serif" w:cs="CMU Serif"/>
        </w:rPr>
        <w:t>reinforcing the large firms’ labor market</w:t>
      </w:r>
      <w:r>
        <w:rPr>
          <w:rFonts w:ascii="CMU Serif" w:hAnsi="CMU Serif" w:cs="CMU Serif"/>
        </w:rPr>
        <w:t xml:space="preserve"> </w:t>
      </w:r>
      <w:r w:rsidRPr="00BF6199">
        <w:rPr>
          <w:rFonts w:ascii="CMU Serif" w:hAnsi="CMU Serif" w:cs="CMU Serif"/>
        </w:rPr>
        <w:t>power and suppressing wages.</w:t>
      </w:r>
    </w:p>
    <w:p w14:paraId="4C02198B" w14:textId="77777777" w:rsidR="00E2564F" w:rsidRDefault="00E2564F" w:rsidP="00E2564F">
      <w:pPr>
        <w:rPr>
          <w:rFonts w:ascii="CMU Serif" w:hAnsi="CMU Serif" w:cs="CMU Serif"/>
        </w:rPr>
      </w:pPr>
      <w:r>
        <w:rPr>
          <w:rFonts w:ascii="CMU Serif" w:hAnsi="CMU Serif" w:cs="CMU Serif"/>
        </w:rPr>
        <w:t xml:space="preserve">DIA: labor mobility is costly in Latin America and the Caribbean. </w:t>
      </w:r>
      <w:r w:rsidRPr="00BF6199">
        <w:rPr>
          <w:rFonts w:ascii="CMU Serif" w:hAnsi="CMU Serif" w:cs="CMU Serif"/>
        </w:rPr>
        <w:t>High transportation costs create barriers that prevent workers</w:t>
      </w:r>
      <w:r>
        <w:rPr>
          <w:rFonts w:ascii="CMU Serif" w:hAnsi="CMU Serif" w:cs="CMU Serif"/>
        </w:rPr>
        <w:t xml:space="preserve"> </w:t>
      </w:r>
      <w:r w:rsidRPr="00BF6199">
        <w:rPr>
          <w:rFonts w:ascii="CMU Serif" w:hAnsi="CMU Serif" w:cs="CMU Serif"/>
        </w:rPr>
        <w:t>from making transitions to higher-paying sectors and firms (Donovan</w:t>
      </w:r>
      <w:r>
        <w:rPr>
          <w:rFonts w:ascii="CMU Serif" w:hAnsi="CMU Serif" w:cs="CMU Serif"/>
        </w:rPr>
        <w:t xml:space="preserve"> </w:t>
      </w:r>
      <w:r w:rsidRPr="00BF6199">
        <w:rPr>
          <w:rFonts w:ascii="CMU Serif" w:hAnsi="CMU Serif" w:cs="CMU Serif"/>
        </w:rPr>
        <w:t>and Schoellman 2021)</w:t>
      </w:r>
    </w:p>
    <w:p w14:paraId="3C3199C4" w14:textId="19516C1D" w:rsidR="002175AD" w:rsidRDefault="002175AD" w:rsidP="00E2564F">
      <w:pPr>
        <w:rPr>
          <w:rFonts w:ascii="CMU Serif" w:hAnsi="CMU Serif" w:cs="CMU Serif"/>
        </w:rPr>
      </w:pPr>
      <w:r w:rsidRPr="002175AD">
        <w:rPr>
          <w:rFonts w:ascii="CMU Serif" w:hAnsi="CMU Serif" w:cs="CMU Serif"/>
        </w:rPr>
        <w:t>Mobility is often restricted by information frictions. Poor information regarding job opportunities will increase monopsony power by limiting the ability of workers to move to better jobs. Jäger et al. (2024) find that employed workers wrongly anchor their beliefs about outside options on their current wages, with workers in low-paying firms underestimating wages elsewhere.</w:t>
      </w:r>
    </w:p>
    <w:p w14:paraId="646B3C44" w14:textId="1CCA3DBF" w:rsidR="002175AD" w:rsidRDefault="002175AD" w:rsidP="002175AD">
      <w:pPr>
        <w:rPr>
          <w:rFonts w:ascii="CMU Serif" w:hAnsi="CMU Serif" w:cs="CMU Serif"/>
        </w:rPr>
      </w:pPr>
      <w:r w:rsidRPr="002175AD">
        <w:rPr>
          <w:rFonts w:ascii="CMU Serif" w:hAnsi="CMU Serif" w:cs="CMU Serif"/>
        </w:rPr>
        <w:t>Empirical research strongly supports the idea that transferable skills increase</w:t>
      </w:r>
      <w:r>
        <w:rPr>
          <w:rFonts w:ascii="CMU Serif" w:hAnsi="CMU Serif" w:cs="CMU Serif"/>
        </w:rPr>
        <w:t xml:space="preserve"> </w:t>
      </w:r>
      <w:r w:rsidRPr="002175AD">
        <w:rPr>
          <w:rFonts w:ascii="CMU Serif" w:hAnsi="CMU Serif" w:cs="CMU Serif"/>
        </w:rPr>
        <w:t>worker mobility. Workers with skills applicable across firms or occupations</w:t>
      </w:r>
      <w:r>
        <w:rPr>
          <w:rFonts w:ascii="CMU Serif" w:hAnsi="CMU Serif" w:cs="CMU Serif"/>
        </w:rPr>
        <w:t xml:space="preserve"> </w:t>
      </w:r>
      <w:r w:rsidRPr="002175AD">
        <w:rPr>
          <w:rFonts w:ascii="CMU Serif" w:hAnsi="CMU Serif" w:cs="CMU Serif"/>
        </w:rPr>
        <w:t>have better outside options, which often lead to higher wage growth</w:t>
      </w:r>
      <w:r>
        <w:rPr>
          <w:rFonts w:ascii="CMU Serif" w:hAnsi="CMU Serif" w:cs="CMU Serif"/>
        </w:rPr>
        <w:t xml:space="preserve"> </w:t>
      </w:r>
      <w:r w:rsidRPr="002175AD">
        <w:rPr>
          <w:rFonts w:ascii="CMU Serif" w:hAnsi="CMU Serif" w:cs="CMU Serif"/>
        </w:rPr>
        <w:t>(Gathmann and Schönberg 2010).</w:t>
      </w:r>
    </w:p>
    <w:p w14:paraId="4BDECE27" w14:textId="6CF9D33C" w:rsidR="00E2564F" w:rsidRDefault="002175AD">
      <w:pPr>
        <w:rPr>
          <w:rFonts w:ascii="CMU Serif" w:hAnsi="CMU Serif" w:cs="CMU Serif"/>
        </w:rPr>
      </w:pPr>
      <w:r w:rsidRPr="002175AD">
        <w:rPr>
          <w:rFonts w:ascii="CMU Serif" w:hAnsi="CMU Serif" w:cs="CMU Serif"/>
        </w:rPr>
        <w:t xml:space="preserve">In a recent study for Norway, </w:t>
      </w:r>
      <w:proofErr w:type="spellStart"/>
      <w:r w:rsidRPr="002175AD">
        <w:rPr>
          <w:rFonts w:ascii="CMU Serif" w:hAnsi="CMU Serif" w:cs="CMU Serif"/>
        </w:rPr>
        <w:t>Dodini</w:t>
      </w:r>
      <w:proofErr w:type="spellEnd"/>
      <w:r w:rsidRPr="002175AD">
        <w:rPr>
          <w:rFonts w:ascii="CMU Serif" w:hAnsi="CMU Serif" w:cs="CMU Serif"/>
        </w:rPr>
        <w:t xml:space="preserve">, </w:t>
      </w:r>
      <w:proofErr w:type="spellStart"/>
      <w:r w:rsidRPr="002175AD">
        <w:rPr>
          <w:rFonts w:ascii="CMU Serif" w:hAnsi="CMU Serif" w:cs="CMU Serif"/>
        </w:rPr>
        <w:t>Salvanes</w:t>
      </w:r>
      <w:proofErr w:type="spellEnd"/>
      <w:r w:rsidRPr="002175AD">
        <w:rPr>
          <w:rFonts w:ascii="CMU Serif" w:hAnsi="CMU Serif" w:cs="CMU Serif"/>
        </w:rPr>
        <w:t xml:space="preserve">, and </w:t>
      </w:r>
      <w:proofErr w:type="spellStart"/>
      <w:r w:rsidRPr="002175AD">
        <w:rPr>
          <w:rFonts w:ascii="CMU Serif" w:hAnsi="CMU Serif" w:cs="CMU Serif"/>
        </w:rPr>
        <w:t>Willén</w:t>
      </w:r>
      <w:proofErr w:type="spellEnd"/>
      <w:r w:rsidRPr="002175AD">
        <w:rPr>
          <w:rFonts w:ascii="CMU Serif" w:hAnsi="CMU Serif" w:cs="CMU Serif"/>
        </w:rPr>
        <w:t xml:space="preserve"> (2024) find that unions can counteract monopsonistic wage suppression, particularly in markets with limited employment alternatives</w:t>
      </w:r>
      <w:r>
        <w:rPr>
          <w:rFonts w:ascii="CMU Serif" w:hAnsi="CMU Serif" w:cs="CMU Serif"/>
        </w:rPr>
        <w:t>.</w:t>
      </w:r>
    </w:p>
    <w:p w14:paraId="1FFCED2B" w14:textId="163AB08B" w:rsidR="002175AD" w:rsidRDefault="002175AD">
      <w:pPr>
        <w:rPr>
          <w:rFonts w:ascii="CMU Serif" w:hAnsi="CMU Serif" w:cs="CMU Serif"/>
        </w:rPr>
      </w:pPr>
      <w:proofErr w:type="spellStart"/>
      <w:r w:rsidRPr="002175AD">
        <w:rPr>
          <w:rFonts w:ascii="CMU Serif" w:hAnsi="CMU Serif" w:cs="CMU Serif"/>
        </w:rPr>
        <w:t>Casacuberta</w:t>
      </w:r>
      <w:proofErr w:type="spellEnd"/>
      <w:r w:rsidRPr="002175AD">
        <w:rPr>
          <w:rFonts w:ascii="CMU Serif" w:hAnsi="CMU Serif" w:cs="CMU Serif"/>
        </w:rPr>
        <w:t xml:space="preserve"> and Gandelman (2023) show how the resurgence of wage councils with a strong union presence in Uruguay reduced wage markdowns</w:t>
      </w:r>
      <w:r>
        <w:rPr>
          <w:rFonts w:ascii="CMU Serif" w:hAnsi="CMU Serif" w:cs="CMU Serif"/>
        </w:rPr>
        <w:t>.</w:t>
      </w:r>
    </w:p>
    <w:p w14:paraId="0B0C1F00" w14:textId="77777777" w:rsidR="002175AD" w:rsidRPr="00E2564F" w:rsidRDefault="002175AD">
      <w:pPr>
        <w:rPr>
          <w:rFonts w:ascii="CMU Serif" w:hAnsi="CMU Serif" w:cs="CMU Serif"/>
        </w:rPr>
      </w:pPr>
    </w:p>
    <w:sectPr w:rsidR="002175AD" w:rsidRPr="00E256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MU Serif">
    <w:panose1 w:val="02000603000000000000"/>
    <w:charset w:val="00"/>
    <w:family w:val="auto"/>
    <w:pitch w:val="variable"/>
    <w:sig w:usb0="E10002FF" w:usb1="5201E9EB" w:usb2="02020004"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64F"/>
    <w:rsid w:val="00182611"/>
    <w:rsid w:val="002175AD"/>
    <w:rsid w:val="0028643F"/>
    <w:rsid w:val="002D44B9"/>
    <w:rsid w:val="003B4684"/>
    <w:rsid w:val="004F4D79"/>
    <w:rsid w:val="00AD5357"/>
    <w:rsid w:val="00D52C2B"/>
    <w:rsid w:val="00E2564F"/>
    <w:rsid w:val="00E400A7"/>
    <w:rsid w:val="00EE05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1F741"/>
  <w15:chartTrackingRefBased/>
  <w15:docId w15:val="{CBB12AD3-B550-44DB-BF34-6C3A6F442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56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6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6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6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6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6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6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6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6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6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6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6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6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6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6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6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6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64F"/>
    <w:rPr>
      <w:rFonts w:eastAsiaTheme="majorEastAsia" w:cstheme="majorBidi"/>
      <w:color w:val="272727" w:themeColor="text1" w:themeTint="D8"/>
    </w:rPr>
  </w:style>
  <w:style w:type="paragraph" w:styleId="Title">
    <w:name w:val="Title"/>
    <w:basedOn w:val="Normal"/>
    <w:next w:val="Normal"/>
    <w:link w:val="TitleChar"/>
    <w:uiPriority w:val="10"/>
    <w:qFormat/>
    <w:rsid w:val="00E256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6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6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6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64F"/>
    <w:pPr>
      <w:spacing w:before="160"/>
      <w:jc w:val="center"/>
    </w:pPr>
    <w:rPr>
      <w:i/>
      <w:iCs/>
      <w:color w:val="404040" w:themeColor="text1" w:themeTint="BF"/>
    </w:rPr>
  </w:style>
  <w:style w:type="character" w:customStyle="1" w:styleId="QuoteChar">
    <w:name w:val="Quote Char"/>
    <w:basedOn w:val="DefaultParagraphFont"/>
    <w:link w:val="Quote"/>
    <w:uiPriority w:val="29"/>
    <w:rsid w:val="00E2564F"/>
    <w:rPr>
      <w:i/>
      <w:iCs/>
      <w:color w:val="404040" w:themeColor="text1" w:themeTint="BF"/>
    </w:rPr>
  </w:style>
  <w:style w:type="paragraph" w:styleId="ListParagraph">
    <w:name w:val="List Paragraph"/>
    <w:basedOn w:val="Normal"/>
    <w:uiPriority w:val="34"/>
    <w:qFormat/>
    <w:rsid w:val="00E2564F"/>
    <w:pPr>
      <w:ind w:left="720"/>
      <w:contextualSpacing/>
    </w:pPr>
  </w:style>
  <w:style w:type="character" w:styleId="IntenseEmphasis">
    <w:name w:val="Intense Emphasis"/>
    <w:basedOn w:val="DefaultParagraphFont"/>
    <w:uiPriority w:val="21"/>
    <w:qFormat/>
    <w:rsid w:val="00E2564F"/>
    <w:rPr>
      <w:i/>
      <w:iCs/>
      <w:color w:val="0F4761" w:themeColor="accent1" w:themeShade="BF"/>
    </w:rPr>
  </w:style>
  <w:style w:type="paragraph" w:styleId="IntenseQuote">
    <w:name w:val="Intense Quote"/>
    <w:basedOn w:val="Normal"/>
    <w:next w:val="Normal"/>
    <w:link w:val="IntenseQuoteChar"/>
    <w:uiPriority w:val="30"/>
    <w:qFormat/>
    <w:rsid w:val="00E256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64F"/>
    <w:rPr>
      <w:i/>
      <w:iCs/>
      <w:color w:val="0F4761" w:themeColor="accent1" w:themeShade="BF"/>
    </w:rPr>
  </w:style>
  <w:style w:type="character" w:styleId="IntenseReference">
    <w:name w:val="Intense Reference"/>
    <w:basedOn w:val="DefaultParagraphFont"/>
    <w:uiPriority w:val="32"/>
    <w:qFormat/>
    <w:rsid w:val="00E256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TotalTime>
  <Pages>2</Pages>
  <Words>620</Words>
  <Characters>3425</Characters>
  <Application>Microsoft Office Word</Application>
  <DocSecurity>0</DocSecurity>
  <Lines>68</Lines>
  <Paragraphs>30</Paragraphs>
  <ScaleCrop>false</ScaleCrop>
  <Company/>
  <LinksUpToDate>false</LinksUpToDate>
  <CharactersWithSpaces>4015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Quevedo, Ingri K</dc:creator>
  <cp:keywords/>
  <dc:description/>
  <cp:lastModifiedBy>Quevedo, Ingri K</cp:lastModifiedBy>
  <cp:revision>2</cp:revision>
  <dcterms:created xsi:type="dcterms:W3CDTF">2026-02-17T16:28:00Z</dcterms:created>
  <dcterms:modified xsi:type="dcterms:W3CDTF">2026-02-17T23:38:00Z</dcterms:modified>
</cp:coreProperties>
</file>