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36"/>
          <w:szCs w:val="36"/>
        </w:rPr>
        <w:t xml:space="preserve">Methodology</w:t>
      </w:r>
    </w:p>
    <w:p>
      <w:pPr>
        <w:spacing w:after="100"/>
        <w:jc w:val="center"/>
      </w:pPr>
      <w:r>
        <w:rPr>
          <w:b/>
          <w:bCs/>
          <w:color w:val="1F4E5F"/>
          <w:sz w:val="26"/>
          <w:szCs w:val="26"/>
        </w:rPr>
        <w:t xml:space="preserve">MVP Execution Plan for Predictive Maintenance of KPC Pipeline Pump Infrastructure</w:t>
      </w:r>
    </w:p>
    <w:p>
      <w:pPr>
        <w:spacing w:after="800"/>
        <w:jc w:val="center"/>
      </w:pPr>
      <w:r>
        <w:rPr>
          <w:i/>
          <w:iCs/>
          <w:sz w:val="22"/>
          <w:szCs w:val="22"/>
        </w:rPr>
        <w:t xml:space="preserve">Team NULL_TERMINATORS</w:t>
      </w:r>
    </w:p>
    <w:p>
      <w:pPr>
        <w:spacing w:after="160" w:line="276"/>
      </w:pPr>
      <w:r>
        <w:t xml:space="preserve">This methodology translates the research and objectives set out in Sections 1–4 of the capstone proposal into a concrete, buildable execution plan for the remaining capstone period. It combines the team's own literature-grounded design (sensor strategy, external risk features, the four solution approaches) with the implementation-focused MVP realignment proposed by the team, keeping the elements from both that are consistent with each other and dropping or deferring only what would put the Week 12 demonstration at risk. Enterprise-scale components that neither document currently has fully specified — streaming infrastructure, physics-guided modelling, full 3D GIS, production MLOps — are treated as a Phase 2 roadmap (Section 6.3, Go-to-Market Strategy) rather than part of the capstone deliverable.</w:t>
      </w:r>
    </w:p>
    <w:p>
      <w:pPr>
        <w:pStyle w:val="Heading1"/>
        <w:spacing w:after="160" w:before="360"/>
      </w:pPr>
      <w:r>
        <w:t xml:space="preserve">1. Rationale: From Architecture to MVP</w:t>
      </w:r>
    </w:p>
    <w:p>
      <w:pPr>
        <w:spacing w:after="160" w:line="276"/>
      </w:pPr>
      <w:r>
        <w:t xml:space="preserve">The original proposal (Sections 1–4) established the analytical foundation: which signals matter, why they matter, and which four solution approaches would combine them into a single system. It intentionally did not commit to a specific technology stack. The MVP realignment closes that gap by choosing a concrete, low-risk stack capable of demonstrating all four approaches end-to-end within the remaining timeline, rather than a distributed enterprise architecture that could not be fully integrated in 12 weeks.</w:t>
      </w:r>
    </w:p>
    <w:p>
      <w:pPr>
        <w:spacing w:after="160" w:line="276"/>
      </w:pPr>
      <w:r>
        <w:t xml:space="preserve">The guiding principle for this methodology is therefore: build less infrastructure, but integrate every theoretical component that differentiates the project — the reconciliation-based health signal, explainable predictions, uncertainty-aware RUL, and a station-level risk view — into one working pipeline.</w:t>
      </w:r>
    </w:p>
    <w:p>
      <w:pPr>
        <w:pStyle w:val="Heading1"/>
        <w:spacing w:after="160" w:before="360"/>
      </w:pPr>
      <w:r>
        <w:t xml:space="preserve">2. System Pipeline</w:t>
      </w:r>
    </w:p>
    <w:p>
      <w:pPr>
        <w:spacing w:after="160" w:line="276"/>
      </w:pPr>
      <w:r>
        <w:t xml:space="preserve">The system is implemented as a single, monolithic pipeline for the capstone period, rather than the distributed streaming architecture (Kafka, InfluxDB) that would be appropriate at production scale. This removes infrastructure risk without changing which signals feed the model:</w:t>
      </w:r>
    </w:p>
    <w:p>
      <w:pPr>
        <w:shd w:fill="F2F2F2" w:color="auto" w:val="clear"/>
        <w:spacing w:after="200" w:before="120"/>
      </w:pPr>
      <w:r>
        <w:rPr>
          <w:i/>
          <w:iCs/>
          <w:sz w:val="20"/>
          <w:szCs w:val="20"/>
        </w:rPr>
        <w:t xml:space="preserve">Sensor + Weather + Regional-Risk Data (CSV/Pandas) → Feature Engineering (rolling-window + exogenous) → Flowgard Reconciliation → ML Prediction (Classification + RUL) → Uncertainty Estimation → Explainability (SHAP) → Alerting → API → Dashboard / 3D Visualization</w:t>
      </w:r>
    </w:p>
    <w:p>
      <w:pPr>
        <w:spacing w:after="160" w:line="276"/>
      </w:pPr>
      <w:r>
        <w:t xml:space="preserve">Loading data via Pandas/CSV rather than a live Kafka/InfluxDB stream is a deployment-scale simplification, not a scope cut on the feature set: the weather (Section 3.2) and regional-activity risk features from the original data foundation remain part of the pipeline, computed as batch features pulled from the same APIs (Open-Meteo for development, KMD as the production target) rather than ingested in real time. This keeps the model's exogenous context intact while avoiding the operational cost of a streaming layer the capstone does not need.</w:t>
      </w:r>
    </w:p>
    <w:p>
      <w:pPr>
        <w:pStyle w:val="Heading1"/>
        <w:spacing w:after="160" w:before="360"/>
      </w:pPr>
      <w:r>
        <w:t xml:space="preserve">3. Data Strategy</w:t>
      </w:r>
    </w:p>
    <w:p>
      <w:pPr>
        <w:spacing w:after="160" w:line="276"/>
      </w:pPr>
      <w:r>
        <w:t xml:space="preserve">The three-track data strategy from the original proposal (Section 3.1) is retained in full for the MVP, since all three tracks are Pandas/CSV-compatible and require no streaming infrastructure: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400"/>
      </w:tblGrid>
      <w:tr>
        <w:trPr>
          <w:tblHeader/>
        </w:trPr>
        <w:tc>
          <w:tcPr>
            <w:tcW w:type="dxa" w:w="26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Track</w:t>
            </w:r>
          </w:p>
        </w:tc>
        <w:tc>
          <w:tcPr>
            <w:tcW w:type="dxa" w:w="54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Role in the MVP</w:t>
            </w:r>
          </w:p>
        </w:tc>
        <w:tc>
          <w:tcPr>
            <w:tcW w:type="dxa" w:w="14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Status</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1. Public real-world datasets</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Martone et al. (2025) centrifugal pump dataset; Kaggle pump_sensor_data; Kaggle Water Pump RUL — used to prototype and sanity-check the feature-engineering and modelling pipeline ahead of synthetic data being finalised.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In scope</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2. Synthetic data (Week 6 approach, extended)</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24-pump, four-depot synthetic dataset with rule-based degradation injection, per Silas Kibet's data engineering role — the primary training set for the MVP demonstration.</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In scope — primary MVP dataset</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3. Real KPC data</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SCADA/historian read access requested via the KPC Ask (Section 8) — used to validate and recalibrate the model post-capstone.</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Deferred — bridging measure until access is granted</w:t>
            </w:r>
          </w:p>
        </w:tc>
      </w:tr>
    </w:tbl>
    <w:p>
      <w:pPr>
        <w:spacing w:after="200"/>
      </w:pPr>
    </w:p>
    <w:p>
      <w:pPr>
        <w:spacing w:after="160" w:line="276"/>
      </w:pPr>
      <w:r>
        <w:t xml:space="preserve">Exogenous features (weather, regional activity risk) are computed once per batch run rather than streamed, consistent with Section 3.3's original design, which already treated these as slowly-updating context features rather than fast-moving sensor signals.</w:t>
      </w:r>
    </w:p>
    <w:p>
      <w:pPr>
        <w:pStyle w:val="Heading1"/>
        <w:spacing w:after="160" w:before="360"/>
      </w:pPr>
      <w:r>
        <w:t xml:space="preserve">4. Flowgard Reconciliation Engine</w:t>
      </w:r>
    </w:p>
    <w:p>
      <w:pPr>
        <w:spacing w:after="160" w:line="276"/>
      </w:pPr>
      <w:r>
        <w:t xml:space="preserve">Flowgard is the team's concrete engineering realisation of the pressure-based anomaly reasoning already set out in Approach 2 (Leak Precursor Pattern Recognition) and Approach 4 (Integrated Pump–Pipe Health Model). Where the original proposal described extracting rolling-window statistical features from raw pressure signals to detect precursor patterns, Flowgard adds a physics-referenced comparison: it calculates a residual between the pump's actual pressure and a simulated expected pressure for the same operating conditions.</w:t>
      </w:r>
    </w:p>
    <w:p>
      <w:pPr>
        <w:spacing w:after="200" w:before="60"/>
        <w:jc w:val="center"/>
      </w:pPr>
      <w:r>
        <w:rPr>
          <w:b/>
          <w:bCs/>
          <w:sz w:val="22"/>
          <w:szCs w:val="22"/>
        </w:rPr>
        <w:t xml:space="preserve">Pressure Residual = Actual Pressure − Simulated Pressure</w:t>
      </w:r>
    </w:p>
    <w:p>
      <w:pPr>
        <w:spacing w:after="160" w:line="276"/>
      </w:pPr>
      <w:r>
        <w:t xml:space="preserve">This residual is converted into a Health Deviation Index — a second, independent signal that sits alongside the rolling-window classification features rather than replacing them. Combining a data-driven precursor signature (Approach 2) with a physics-referenced residual (Flowgard) gives the classification model two structurally different ways of detecting the same degradation, which is a stronger basis for the anomaly-vs-normal distinction than either method alone. This is also the component that most directly operationalises Approach 4's integrated pump–pipe risk score: the Health Deviation Index becomes one of the inputs combined into the single per-station risk index, alongside pump risk, leak precursor risk, weather exposure, and regional activity risk.</w:t>
      </w:r>
    </w:p>
    <w:p>
      <w:pPr>
        <w:pBdr>
          <w:left w:val="single" w:color="1F4E5F" w:sz="12" w:space="6"/>
        </w:pBdr>
        <w:shd w:fill="EFF5F7" w:color="auto" w:val="clear"/>
        <w:spacing w:after="200" w:before="60" w:line="276"/>
        <w:ind w:left="120"/>
      </w:pPr>
      <w:r>
        <w:rPr>
          <w:i/>
          <w:iCs/>
          <w:color w:val="2E4E5E"/>
          <w:sz w:val="21"/>
          <w:szCs w:val="21"/>
        </w:rPr>
        <w:t xml:space="preserve">Because Flowgard is not yet backed by a literature citation in Section 2 (State of the Art), the team should document its derivation and validate it against the synthetic dataset before presenting it as the project's primary differentiator — this strengthens rather than undermines the claim.</w:t>
      </w:r>
    </w:p>
    <w:p>
      <w:pPr>
        <w:pStyle w:val="Heading1"/>
        <w:spacing w:after="160" w:before="360"/>
      </w:pPr>
      <w:r>
        <w:t xml:space="preserve">5. Predictive and Prescriptive Modelling</w:t>
      </w:r>
    </w:p>
    <w:p>
      <w:pPr>
        <w:pStyle w:val="Heading2"/>
        <w:spacing w:after="140" w:before="280"/>
      </w:pPr>
      <w:r>
        <w:t xml:space="preserve">5.1 Classification and RUL Regression</w:t>
      </w:r>
    </w:p>
    <w:p>
      <w:pPr>
        <w:spacing w:after="160" w:line="276"/>
      </w:pPr>
      <w:r>
        <w:t xml:space="preserve">The classification model (seven-day failure risk window) and RUL regression model (Objectives 2 and 3) remain the core of the system, now trained on the extended feature set: rolling-window sensor features, weather and regional-risk context, and the Flowgard Health Deviation Index. The Week 6 benchmark — 94.2% classification accuracy, 84.3% failure-detection sensitivity, 2.4% false-alarm rate, and 105.9-hour RUL MAE — is the current validated baseline, and should be re-run once Flowgard features are incorporated rather than assumed to hold unchanged.</w:t>
      </w:r>
    </w:p>
    <w:p>
      <w:pPr>
        <w:pStyle w:val="Heading2"/>
        <w:spacing w:after="140" w:before="280"/>
      </w:pPr>
      <w:r>
        <w:t xml:space="preserve">5.2 Uncertainty Estimation</w:t>
      </w:r>
    </w:p>
    <w:p>
      <w:pPr>
        <w:spacing w:after="160" w:line="276"/>
      </w:pPr>
      <w:r>
        <w:t xml:space="preserve">Monte Carlo Dropout is added to the RUL regression model to produce confidence intervals around each RUL estimate, rather than a single point figure. This directly strengthens Objective 3 ("a defined and actionable service window") and Objective 6 (validating RUL-error benchmarks): a maintenance planner acting on "120 hours ± 15 hours" can make a materially better scheduling decision than one acting on "120 hours" alone, and it lets the team report a calibrated error bound rather than only a mean absolute error.</w:t>
      </w:r>
    </w:p>
    <w:p>
      <w:pPr>
        <w:pStyle w:val="Heading2"/>
        <w:spacing w:after="140" w:before="280"/>
      </w:pPr>
      <w:r>
        <w:t xml:space="preserve">5.3 Explainability</w:t>
      </w:r>
    </w:p>
    <w:p>
      <w:pPr>
        <w:spacing w:after="160" w:line="276"/>
      </w:pPr>
      <w:r>
        <w:t xml:space="preserve">SHAP feature-importance analysis, already specified for precursor-window analysis in Approach 2, is extended to explain every prediction the classification and RUL models produce — not only leak precursor events. This gives maintenance planners and technicians a consistent answer to "why is this pump flagged," and is what drives the dynamic component-level states (bearing, impeller, seal) in the 3D pump visualization described in Section 7.</w:t>
      </w:r>
    </w:p>
    <w:p>
      <w:pPr>
        <w:pStyle w:val="Heading1"/>
        <w:spacing w:after="160" w:before="360"/>
      </w:pPr>
      <w:r>
        <w:t xml:space="preserve">6. Alerting and Maintenance Prioritisation</w:t>
      </w:r>
    </w:p>
    <w:p>
      <w:pPr>
        <w:spacing w:after="160" w:line="276"/>
      </w:pPr>
      <w:r>
        <w:t xml:space="preserve">Model output is converted into action through two coupled mechanisms:</w:t>
      </w:r>
    </w:p>
    <w:p>
      <w:pPr>
        <w:pStyle w:val="ListParagraph"/>
        <w:numPr>
          <w:ilvl w:val="0"/>
          <w:numId w:val="1"/>
        </w:numPr>
        <w:spacing w:after="100" w:line="276"/>
      </w:pPr>
      <w:r>
        <w:rPr>
          <w:b/>
          <w:bCs/>
        </w:rPr>
        <w:t xml:space="preserve">Alerting. </w:t>
      </w:r>
      <w:r>
        <w:t xml:space="preserve">Email notifications and browser push notifications cover the MVP demonstration. Telco-based SMS integration — relevant for field technicians without regular dashboard access — is deferred to the production roadmap, since it introduces an external carrier dependency the capstone timeline does not need to absorb.</w:t>
      </w:r>
    </w:p>
    <w:p>
      <w:pPr>
        <w:pStyle w:val="ListParagraph"/>
        <w:numPr>
          <w:ilvl w:val="0"/>
          <w:numId w:val="1"/>
        </w:numPr>
        <w:spacing w:after="100" w:line="276"/>
      </w:pPr>
      <w:r>
        <w:rPr>
          <w:b/>
          <w:bCs/>
        </w:rPr>
        <w:t xml:space="preserve">Maintenance prioritisation. </w:t>
      </w:r>
      <w:r>
        <w:t xml:space="preserve">Approach 3's RUL-and-lifecycle framework (pump age, prior interventions, design life) ranks flagged pumps into the prioritised maintenance calendar specified in Objective 4, using the confidence-adjusted RUL estimates from Section 5.2 rather than risk score alone.</w:t>
      </w:r>
    </w:p>
    <w:p>
      <w:pPr>
        <w:spacing w:after="160" w:line="276"/>
      </w:pPr>
      <w:r>
        <w:t xml:space="preserve">Together these ensure a flagged pump doesn't just generate a dashboard entry — it reaches a planner through a channel they will actually see, ranked against every other flagged pump by genuine urgency.</w:t>
      </w:r>
    </w:p>
    <w:p>
      <w:pPr>
        <w:pStyle w:val="Heading1"/>
        <w:spacing w:after="160" w:before="360"/>
      </w:pPr>
      <w:r>
        <w:t xml:space="preserve">7. Visualization and Dashboard</w:t>
      </w:r>
    </w:p>
    <w:p>
      <w:pPr>
        <w:spacing w:after="160" w:line="276"/>
      </w:pPr>
      <w:r>
        <w:t xml:space="preserve">The dashboard is built in Next.js and is the concrete implementation of the station-level risk view described in Approach 1 (Spatiotemporal Anomaly Mapping) and Approach 4 (the single integrated risk index). Scope is deliberately controlled so that frontend work does not become the project's critical path:</w:t>
      </w:r>
    </w:p>
    <w:p>
      <w:pPr>
        <w:pStyle w:val="ListParagraph"/>
        <w:numPr>
          <w:ilvl w:val="0"/>
          <w:numId w:val="1"/>
        </w:numPr>
        <w:spacing w:after="100" w:line="276"/>
      </w:pPr>
      <w:r>
        <w:t xml:space="preserve">A 2D Leaflet/Mapbox map provides pipeline and station-level geographic context — sufficient to show the heat-map behaviour Approach 1 calls for (e.g. elevated anomaly rates at river-crossing stations during the long rains) without building a full 3D GIS terrain.</w:t>
      </w:r>
    </w:p>
    <w:p>
      <w:pPr>
        <w:pStyle w:val="ListParagraph"/>
        <w:numPr>
          <w:ilvl w:val="0"/>
          <w:numId w:val="1"/>
        </w:numPr>
        <w:spacing w:after="100" w:line="276"/>
      </w:pPr>
      <w:r>
        <w:t xml:space="preserve">A single interactive 3D pump model (React Three Fiber or Plotly) represents bearing, impeller, and seal components, with each component's visual state driven by the SHAP feature-importance output from Section 5.3 — giving a direct, literal link between "the model flagged this pump" and "here is the specific part driving that prediction."</w:t>
      </w:r>
    </w:p>
    <w:p>
      <w:pPr>
        <w:pStyle w:val="ListParagraph"/>
        <w:numPr>
          <w:ilvl w:val="0"/>
          <w:numId w:val="1"/>
        </w:numPr>
        <w:spacing w:after="100" w:line="276"/>
      </w:pPr>
      <w:r>
        <w:t xml:space="preserve">Core dashboard views: pump health, failure predictions, RUL estimates with confidence intervals, SHAP explanations, pipeline station status, alerts, and Flowgard health deviations — one screen per concern, feeding from the same underlying risk index.</w:t>
      </w:r>
    </w:p>
    <w:p>
      <w:pPr>
        <w:spacing w:after="160" w:line="276"/>
      </w:pPr>
      <w:r>
        <w:t xml:space="preserve">Nationwide 3D pipeline mapping and full geospatial infrastructure modelling are deferred; a single well-instrumented 3D pump model demonstrates the same visual link between prediction and physical cause at a fraction of the build cost.</w:t>
      </w:r>
    </w:p>
    <w:p>
      <w:pPr>
        <w:pStyle w:val="Heading1"/>
        <w:spacing w:after="160" w:before="360"/>
      </w:pPr>
      <w:r>
        <w:t xml:space="preserve">8. What Is Deferred, and Why</w:t>
      </w:r>
    </w:p>
    <w:p>
      <w:pPr>
        <w:spacing w:after="160" w:line="276"/>
      </w:pPr>
      <w:r>
        <w:t xml:space="preserve">The following are explicitly out of scope for the Week 12 demonstration. None are rejected — each remains a legitimate Phase 2/enterprise extension once the MVP has validated the underlying approach (Section 6, Go-to-Market Strategy, Phase 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Deferred component</w:t>
            </w:r>
          </w:p>
        </w:tc>
        <w:tc>
          <w:tcPr>
            <w:tcW w:type="dxa" w:w="64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Reason</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Kafka-based streaming ingestion</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Not required to validate the model or the demonstration; adds integration risk without changing which features the model sees.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InfluxDB / time-series infrastructure</w:t>
            </w:r>
          </w:p>
        </w:tc>
        <w:tc>
          <w:tcPr>
            <w:tcW w:type="dxa" w:w="6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Batch CSV/Pandas processing is sufficient for the synthetic and public datasets used in the MVP.</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Physics-guided neural networks</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Not part of the literature-grounded modelling approach in Section 2; the current RF/XGBoost-style classification and regression models are sufficient and already validated.</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Full 3D GIS / nationwide pipeline mapping</w:t>
            </w:r>
          </w:p>
        </w:tc>
        <w:tc>
          <w:tcPr>
            <w:tcW w:type="dxa" w:w="6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A single 3D pump model plus a 2D station map preserves the visual impact at substantially lower build cost.</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Production-grade MLOps infrastructure</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Not required to demonstrate model validity within a fixed-timeline capstone; relevant once the system moves toward Phase 1 pilot deployment (Section 6).</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Telco SMS integration</w:t>
            </w:r>
          </w:p>
        </w:tc>
        <w:tc>
          <w:tcPr>
            <w:tcW w:type="dxa" w:w="6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Email and browser push are sufficient to demonstrate the alerting workflow; SMS adds an external carrier dependency.</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Large-scale distributed deployment</w:t>
            </w:r>
          </w:p>
        </w:tc>
        <w:tc>
          <w:tcPr>
            <w:tcW w:type="dxa" w:w="6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Out of scope until a production client (Section 7, Implementation Rollout) is confirmed.</w:t>
            </w:r>
          </w:p>
        </w:tc>
      </w:tr>
    </w:tbl>
    <w:p>
      <w:pPr>
        <w:spacing w:after="200"/>
      </w:pPr>
    </w:p>
    <w:p>
      <w:pPr>
        <w:pStyle w:val="Heading1"/>
        <w:spacing w:after="160" w:before="360"/>
      </w:pPr>
      <w:r>
        <w:t xml:space="preserve">9. Execution Timeline</w:t>
      </w:r>
    </w:p>
    <w:p>
      <w:pPr>
        <w:spacing w:after="160" w:line="276"/>
      </w:pPr>
      <w:r>
        <w:t xml:space="preserve">This timeline governs the capstone build itself and sits inside the Weeks 7–12 window already referenced in the Implementation Rollout (Section 7), which separately describes the client-facing deployment methodology this same system would follow at KPC.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800"/>
      </w:tblGrid>
      <w:tr>
        <w:trPr>
          <w:tblHeader/>
        </w:trPr>
        <w:tc>
          <w:tcPr>
            <w:tcW w:type="dxa" w:w="16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Week</w:t>
            </w:r>
          </w:p>
        </w:tc>
        <w:tc>
          <w:tcPr>
            <w:tcW w:type="dxa" w:w="28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Milestone</w:t>
            </w:r>
          </w:p>
        </w:tc>
        <w:tc>
          <w:tcPr>
            <w:tcW w:type="dxa" w:w="4800"/>
            <w:tcBorders>
              <w:top w:val="single" w:color="BFBFBF" w:sz="4"/>
              <w:left w:val="single" w:color="BFBFBF" w:sz="4"/>
              <w:bottom w:val="single" w:color="BFBFBF" w:sz="4"/>
              <w:right w:val="single" w:color="BFBFBF" w:sz="4"/>
            </w:tcBorders>
            <w:shd w:fill="1F4E5F" w:color="auto" w:val="clear"/>
            <w:tcMar>
              <w:top w:type="dxa" w:w="80"/>
              <w:left w:type="dxa" w:w="100"/>
              <w:bottom w:type="dxa" w:w="80"/>
              <w:right w:type="dxa" w:w="100"/>
            </w:tcMar>
          </w:tcPr>
          <w:p>
            <w:r>
              <w:rPr>
                <w:b/>
                <w:bCs/>
                <w:color w:val="FFFFFF"/>
                <w:sz w:val="20"/>
                <w:szCs w:val="20"/>
              </w:rPr>
              <w:t xml:space="preserve">Expected Outcome</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Week 8</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Data &amp; ML Integration</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Finalise the data pipeline and retrain/validate the classification and RUL models using the integrated Flowgard and exogenous (weather/regional-risk) features.</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Weeks 9–10</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Frontend &amp; API Integration</w:t>
            </w:r>
          </w:p>
        </w:tc>
        <w:tc>
          <w:tcPr>
            <w:tcW w:type="dxa" w:w="4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Build the Next.js dashboard, 2D map, and static 3D pump model; connect backend REST APIs.</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Week 11</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Full System Integration</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20"/>
                <w:szCs w:val="20"/>
              </w:rPr>
              <w:t xml:space="preserve">Connect predictions, alerts, SHAP explanations, RUL confidence intervals, and dynamic 3D component states into one live pipeline.</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Week 12</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Finalisation &amp; Demonstration</w:t>
            </w:r>
          </w:p>
        </w:tc>
        <w:tc>
          <w:tcPr>
            <w:tcW w:type="dxa" w:w="4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r>
              <w:rPr>
                <w:b w:val="false"/>
                <w:bCs w:val="false"/>
                <w:sz w:val="20"/>
                <w:szCs w:val="20"/>
              </w:rPr>
              <w:t xml:space="preserve">Dress rehearsal, fix critical issues, record the demonstration, finalise presentation materials for the Capstone Showcase.</w:t>
            </w:r>
          </w:p>
        </w:tc>
      </w:tr>
    </w:tbl>
    <w:p>
      <w:pPr>
        <w:spacing w:after="200"/>
      </w:pPr>
    </w:p>
    <w:p>
      <w:pPr>
        <w:pStyle w:val="Heading1"/>
        <w:spacing w:after="160" w:before="360"/>
      </w:pPr>
      <w:r>
        <w:t xml:space="preserve">10. Success Criteria</w:t>
      </w:r>
    </w:p>
    <w:p>
      <w:pPr>
        <w:spacing w:after="160" w:line="276"/>
      </w:pPr>
      <w:r>
        <w:t xml:space="preserve">The MVP is successful if it demonstrates the following workflow end-to-end, live, in front of a reviewer — this takes priority over adding further features:</w:t>
      </w:r>
    </w:p>
    <w:p>
      <w:pPr>
        <w:shd w:fill="F2F2F2" w:color="auto" w:val="clear"/>
        <w:spacing w:after="200" w:before="60"/>
        <w:jc w:val="center"/>
      </w:pPr>
      <w:r>
        <w:rPr>
          <w:i/>
          <w:iCs/>
          <w:sz w:val="20"/>
          <w:szCs w:val="20"/>
        </w:rPr>
        <w:t xml:space="preserve">Pump Data → Flowgard Reconciliation → Health Deviation → ML Prediction → RUL &amp; Confidence → SHAP Explanation → Alert → Dashboard Visualization</w:t>
      </w:r>
    </w:p>
    <w:p>
      <w:pPr>
        <w:spacing w:after="100" w:line="276"/>
      </w:pPr>
      <w:r>
        <w:rPr>
          <w:b/>
          <w:bCs/>
        </w:rPr>
        <w:t xml:space="preserve">1. </w:t>
      </w:r>
      <w:r>
        <w:t xml:space="preserve">Pump telemetry entering the system.</w:t>
      </w:r>
    </w:p>
    <w:p>
      <w:pPr>
        <w:spacing w:after="100" w:line="276"/>
      </w:pPr>
      <w:r>
        <w:rPr>
          <w:b/>
          <w:bCs/>
        </w:rPr>
        <w:t xml:space="preserve">2. </w:t>
      </w:r>
      <w:r>
        <w:t xml:space="preserve">Flowgard calculating the pressure residual.</w:t>
      </w:r>
    </w:p>
    <w:p>
      <w:pPr>
        <w:spacing w:after="100" w:line="276"/>
      </w:pPr>
      <w:r>
        <w:rPr>
          <w:b/>
          <w:bCs/>
        </w:rPr>
        <w:t xml:space="preserve">3. </w:t>
      </w:r>
      <w:r>
        <w:t xml:space="preserve">The Health Deviation Index being updated.</w:t>
      </w:r>
    </w:p>
    <w:p>
      <w:pPr>
        <w:spacing w:after="100" w:line="276"/>
      </w:pPr>
      <w:r>
        <w:rPr>
          <w:b/>
          <w:bCs/>
        </w:rPr>
        <w:t xml:space="preserve">4. </w:t>
      </w:r>
      <w:r>
        <w:t xml:space="preserve">The classification model generating a prediction (Objective 2).</w:t>
      </w:r>
    </w:p>
    <w:p>
      <w:pPr>
        <w:spacing w:after="100" w:line="276"/>
      </w:pPr>
      <w:r>
        <w:rPr>
          <w:b/>
          <w:bCs/>
        </w:rPr>
        <w:t xml:space="preserve">5. </w:t>
      </w:r>
      <w:r>
        <w:t xml:space="preserve">RUL and confidence-interval information being displayed (Objectives 3 and 6, Section 5.2).</w:t>
      </w:r>
    </w:p>
    <w:p>
      <w:pPr>
        <w:spacing w:after="100" w:line="276"/>
      </w:pPr>
      <w:r>
        <w:rPr>
          <w:b/>
          <w:bCs/>
        </w:rPr>
        <w:t xml:space="preserve">6. </w:t>
      </w:r>
      <w:r>
        <w:t xml:space="preserve">SHAP identifying the influential failure factors (Section 5.3).</w:t>
      </w:r>
    </w:p>
    <w:p>
      <w:pPr>
        <w:spacing w:after="100" w:line="276"/>
      </w:pPr>
      <w:r>
        <w:rPr>
          <w:b/>
          <w:bCs/>
        </w:rPr>
        <w:t xml:space="preserve">7. </w:t>
      </w:r>
      <w:r>
        <w:t xml:space="preserve">An alert being triggered when predefined conditions are met (Section 6).</w:t>
      </w:r>
    </w:p>
    <w:p>
      <w:pPr>
        <w:spacing w:after="100" w:line="276"/>
      </w:pPr>
      <w:r>
        <w:rPr>
          <w:b/>
          <w:bCs/>
        </w:rPr>
        <w:t xml:space="preserve">8. </w:t>
      </w:r>
      <w:r>
        <w:t xml:space="preserve">The affected pump components being reflected visually in the 3D model (Section 7).</w:t>
      </w:r>
    </w:p>
    <w:p>
      <w:pPr>
        <w:spacing w:after="160" w:line="276"/>
      </w:pPr>
      <w:r>
        <w:t xml:space="preserve">Each of these eight checkpoints maps directly back to a specific objective or section in the original proposal, which is deliberate: the MVP is not a reduced version of the project's ambition, it is the fastest path to demonstrating every element the theoretical proposal claimed the system would deliver.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E6E8E"/>
      <w:sz w:val="26"/>
      <w:szCs w:val="26"/>
    </w:rPr>
  </w:style>
  <w:style w:type="paragraph" w:styleId="Heading3">
    <w:name w:val="Heading 3"/>
    <w:basedOn w:val="Normal"/>
    <w:next w:val="Normal"/>
    <w:qFormat/>
    <w:pPr>
      <w:spacing w:after="120" w:before="220"/>
    </w:pPr>
    <w:rPr>
      <w:rFonts w:ascii="Calibri" w:cs="Calibri" w:eastAsia="Calibri" w:hAnsi="Calibri"/>
      <w:b/>
      <w:bCs/>
      <w:i/>
      <w:i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2026-08-12T15:10:17.240Z</dcterms:created>
  <dcterms:modified xsi:type="dcterms:W3CDTF">2026-08-12T15:10:17.256Z</dcterms:modified>
</cp:coreProperties>
</file>

<file path=docProps/custom.xml><?xml version="1.0" encoding="utf-8"?>
<Properties xmlns="http://schemas.openxmlformats.org/officeDocument/2006/custom-properties" xmlns:vt="http://schemas.openxmlformats.org/officeDocument/2006/docPropsVTypes"/>
</file>