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r w:rsidRPr="001C01C1">
        <w:t xml:space="preserve">Приложение </w:t>
      </w:r>
      <w:bookmarkEnd w:id="0"/>
      <w:r w:rsidR="00512C28">
        <w:t>2</w:t>
      </w:r>
    </w:p>
    <w:p w:rsidR="0065472C" w:rsidRPr="003D29E9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755CB" w:rsidRPr="00F755CB">
        <w:rPr>
          <w:sz w:val="28"/>
        </w:rPr>
        <w:t>10</w:t>
      </w:r>
      <w:r w:rsidR="00E97AA5" w:rsidRPr="00E97AA5">
        <w:rPr>
          <w:sz w:val="28"/>
        </w:rPr>
        <w:t>.</w:t>
      </w:r>
      <w:r w:rsidR="00F755CB" w:rsidRPr="003D29E9">
        <w:rPr>
          <w:sz w:val="28"/>
        </w:rPr>
        <w:t>0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1" w:name="_Toc390789639"/>
      <w:bookmarkStart w:id="2" w:name="_GoBack"/>
      <w:bookmarkEnd w:id="2"/>
      <w:r w:rsidRPr="00332E9C">
        <w:lastRenderedPageBreak/>
        <w:t>Информация о жалобе</w:t>
      </w:r>
      <w:bookmarkEnd w:id="1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</w:t>
            </w:r>
            <w:r>
              <w:rPr>
                <w:sz w:val="20"/>
              </w:rPr>
              <w:lastRenderedPageBreak/>
              <w:t xml:space="preserve">заполнения поля </w:t>
            </w:r>
            <w:r w:rsidRPr="00E232BB">
              <w:rPr>
                <w:sz w:val="20"/>
              </w:rPr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66CA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F0153B" w:rsidRDefault="003D29E9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E232BB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3D29E9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3D29E9" w:rsidP="0063335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 w:rsidRPr="005437E9">
              <w:rPr>
                <w:sz w:val="20"/>
              </w:rPr>
              <w:t>Agency</w:t>
            </w:r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3D29E9" w:rsidP="0063335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3D29E9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</w:t>
            </w:r>
            <w:r w:rsidRPr="00C2114A">
              <w:rPr>
                <w:sz w:val="20"/>
              </w:rPr>
              <w:lastRenderedPageBreak/>
              <w:t>в сфере закупок» федерального 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2114A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166CA5" w:rsidRPr="00BE4E26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8B2EB1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8B2EB1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</w:t>
            </w:r>
            <w:r>
              <w:rPr>
                <w:sz w:val="20"/>
              </w:rPr>
              <w:lastRenderedPageBreak/>
              <w:t>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Лоты, процедура проведения </w:t>
            </w:r>
            <w:r w:rsidRPr="00E87917">
              <w:rPr>
                <w:sz w:val="20"/>
              </w:rPr>
              <w:lastRenderedPageBreak/>
              <w:t>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3D29E9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3D29E9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3D29E9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3D29E9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3D29E9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3D29E9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3D29E9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</w:t>
            </w:r>
            <w:r>
              <w:rPr>
                <w:sz w:val="20"/>
              </w:rPr>
              <w:lastRenderedPageBreak/>
              <w:t>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 xml:space="preserve">Дата поступления информации об </w:t>
            </w:r>
            <w:r w:rsidRPr="00CC1749">
              <w:rPr>
                <w:sz w:val="20"/>
              </w:rPr>
              <w:lastRenderedPageBreak/>
              <w:t>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первоначальной версии значение поля игнорируется, автоматически рассчитывается и сохраняется на </w:t>
            </w:r>
            <w:r>
              <w:rPr>
                <w:sz w:val="20"/>
              </w:rPr>
              <w:lastRenderedPageBreak/>
              <w:t>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3D29E9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3D29E9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3D29E9" w:rsidP="00464998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3D29E9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3D29E9" w:rsidP="00464998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5437E9" w:rsidRDefault="003D29E9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3D29E9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3D29E9" w:rsidP="00464998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3D29E9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3D29E9" w:rsidP="00464998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3B7C0D" w:rsidRDefault="00166CA5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C8376F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8628D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B00CF5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8F74C0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lastRenderedPageBreak/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627DA4">
              <w:rPr>
                <w:sz w:val="20"/>
              </w:rPr>
              <w:t>комиссия  (</w:t>
            </w:r>
            <w:proofErr w:type="gramEnd"/>
            <w:r w:rsidRPr="00627DA4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627DA4">
              <w:rPr>
                <w:sz w:val="20"/>
              </w:rPr>
              <w:t>комиссия  (</w:t>
            </w:r>
            <w:proofErr w:type="gramEnd"/>
            <w:r w:rsidRPr="00627DA4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</w:t>
            </w:r>
            <w:proofErr w:type="gramStart"/>
            <w:r w:rsidRPr="00627DA4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</w:t>
            </w:r>
            <w:proofErr w:type="gramStart"/>
            <w:r w:rsidRPr="00627DA4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Организация  юридического лица, </w:t>
            </w:r>
            <w:r w:rsidRPr="00002AE8">
              <w:rPr>
                <w:sz w:val="20"/>
              </w:rPr>
              <w:lastRenderedPageBreak/>
              <w:t>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proofErr w:type="gramStart"/>
            <w:r w:rsidRPr="00002AE8">
              <w:rPr>
                <w:sz w:val="20"/>
              </w:rPr>
              <w:t>Реквизиты  юридического</w:t>
            </w:r>
            <w:proofErr w:type="gramEnd"/>
            <w:r w:rsidRPr="00002AE8">
              <w:rPr>
                <w:sz w:val="20"/>
              </w:rPr>
              <w:t xml:space="preserve">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proofErr w:type="gramStart"/>
            <w:r w:rsidRPr="00002AE8">
              <w:rPr>
                <w:sz w:val="20"/>
              </w:rPr>
              <w:t>Реквизиты  юридического</w:t>
            </w:r>
            <w:proofErr w:type="gramEnd"/>
            <w:r w:rsidRPr="00002AE8">
              <w:rPr>
                <w:sz w:val="20"/>
              </w:rPr>
              <w:t xml:space="preserve">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 xml:space="preserve">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lastRenderedPageBreak/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166CA5" w:rsidRPr="00E232BB" w:rsidRDefault="00166CA5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3D29E9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3D29E9" w:rsidP="00633356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3D29E9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3D29E9" w:rsidP="00633356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5437E9" w:rsidRDefault="003D29E9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3D29E9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3D29E9" w:rsidP="00633356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3D29E9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3D29E9" w:rsidP="00633356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5C7D2F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8533A3" w:rsidRDefault="00166CA5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4900DA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B00CF5" w:rsidRDefault="00166CA5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CD7AC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CD7ACB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62309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0409FC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03CF4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6D7888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F0153B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lastRenderedPageBreak/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0409FC">
              <w:rPr>
                <w:sz w:val="20"/>
              </w:rPr>
              <w:t>комиссия  (</w:t>
            </w:r>
            <w:proofErr w:type="gramEnd"/>
            <w:r w:rsidRPr="000409FC">
              <w:rPr>
                <w:sz w:val="20"/>
              </w:rPr>
              <w:t>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0409FC">
              <w:rPr>
                <w:sz w:val="20"/>
              </w:rPr>
              <w:t>комиссия  (</w:t>
            </w:r>
            <w:proofErr w:type="gramEnd"/>
            <w:r w:rsidRPr="000409FC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</w:t>
            </w:r>
            <w:proofErr w:type="gramStart"/>
            <w:r w:rsidRPr="000409FC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CF1AA9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proofErr w:type="gramStart"/>
            <w:r w:rsidRPr="00CF1AA9">
              <w:rPr>
                <w:sz w:val="20"/>
              </w:rPr>
              <w:t>Реквизиты  юридического</w:t>
            </w:r>
            <w:proofErr w:type="gramEnd"/>
            <w:r w:rsidRPr="00CF1AA9">
              <w:rPr>
                <w:sz w:val="20"/>
              </w:rPr>
              <w:t xml:space="preserve">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</w:t>
            </w:r>
            <w:r w:rsidRPr="001F4BD6">
              <w:rPr>
                <w:sz w:val="20"/>
              </w:rPr>
              <w:lastRenderedPageBreak/>
              <w:t>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</w:t>
            </w:r>
            <w:r>
              <w:rPr>
                <w:sz w:val="20"/>
              </w:rPr>
              <w:lastRenderedPageBreak/>
              <w:t>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lastRenderedPageBreak/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Электронный документ, </w:t>
            </w:r>
            <w:r>
              <w:rPr>
                <w:sz w:val="20"/>
                <w:lang w:eastAsia="en-US"/>
              </w:rPr>
              <w:lastRenderedPageBreak/>
              <w:t>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lastRenderedPageBreak/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lastRenderedPageBreak/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</w:t>
            </w:r>
            <w:proofErr w:type="gramStart"/>
            <w:r>
              <w:rPr>
                <w:sz w:val="20"/>
              </w:rPr>
              <w:t>случае,если</w:t>
            </w:r>
            <w:proofErr w:type="gramEnd"/>
            <w:r>
              <w:rPr>
                <w:sz w:val="20"/>
              </w:rPr>
              <w:t xml:space="preserve">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COMPLAINT_PARTLY_VALID – Жалоба признана обоснованной </w:t>
            </w:r>
            <w:r w:rsidRPr="00CB2A10">
              <w:rPr>
                <w:sz w:val="20"/>
              </w:rPr>
              <w:lastRenderedPageBreak/>
              <w:t>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3D29E9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3D29E9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3D29E9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NO_VIOLATIONS - Нарушения </w:t>
            </w:r>
            <w:r w:rsidRPr="00CB2A10">
              <w:rPr>
                <w:sz w:val="20"/>
              </w:rPr>
              <w:lastRenderedPageBreak/>
              <w:t>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3D29E9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Дата размещения извещения на Официальном сайте ЕИС (для </w:t>
            </w:r>
            <w:r w:rsidRPr="00A85A77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3D29E9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Элементы указываются в рамках одной необязательной </w:t>
            </w:r>
            <w:r>
              <w:rPr>
                <w:sz w:val="20"/>
              </w:rPr>
              <w:lastRenderedPageBreak/>
              <w:t>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lastRenderedPageBreak/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3D29E9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3D29E9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3D29E9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3D29E9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3D29E9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3D29E9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</w:t>
            </w:r>
            <w:r>
              <w:rPr>
                <w:sz w:val="20"/>
                <w:lang w:eastAsia="en-US"/>
              </w:rPr>
              <w:lastRenderedPageBreak/>
              <w:t>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166CA5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3D29E9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 xml:space="preserve">устарело, не </w:t>
            </w:r>
            <w:r>
              <w:rPr>
                <w:sz w:val="20"/>
              </w:rPr>
              <w:lastRenderedPageBreak/>
              <w:t>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Содержимое блока игнорируется </w:t>
            </w:r>
            <w:r>
              <w:rPr>
                <w:sz w:val="20"/>
              </w:rPr>
              <w:lastRenderedPageBreak/>
              <w:t>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3D29E9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3D29E9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3D29E9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3D29E9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F0153B" w:rsidRDefault="003D29E9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62309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3D29E9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61469" w:rsidRDefault="003D29E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3D29E9" w:rsidP="00E8626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3D29E9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3D29E9" w:rsidP="00E8626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 xml:space="preserve">иная </w:t>
            </w:r>
            <w:r>
              <w:rPr>
                <w:sz w:val="20"/>
              </w:rPr>
              <w:lastRenderedPageBreak/>
              <w:t>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C8376F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86266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8626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Специализированная организация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E86266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3D29E9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3D29E9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lastRenderedPageBreak/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lastRenderedPageBreak/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</w:t>
            </w:r>
            <w:proofErr w:type="gramStart"/>
            <w:r w:rsidRPr="009B4637">
              <w:rPr>
                <w:sz w:val="20"/>
              </w:rPr>
              <w:t>d{</w:t>
            </w:r>
            <w:proofErr w:type="gramEnd"/>
            <w:r w:rsidRPr="009B4637">
              <w:rPr>
                <w:sz w:val="20"/>
              </w:rPr>
              <w:t xml:space="preserve">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lastRenderedPageBreak/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</w:t>
            </w:r>
            <w:r w:rsidRPr="0093429A">
              <w:rPr>
                <w:sz w:val="20"/>
                <w:lang w:val="en-US"/>
              </w:rPr>
              <w:lastRenderedPageBreak/>
              <w:t>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Шаблон значения: \</w:t>
            </w:r>
            <w:proofErr w:type="gramStart"/>
            <w:r w:rsidRPr="00724833">
              <w:rPr>
                <w:sz w:val="20"/>
              </w:rPr>
              <w:t>d{</w:t>
            </w:r>
            <w:proofErr w:type="gramEnd"/>
            <w:r w:rsidRPr="00724833">
              <w:rPr>
                <w:sz w:val="20"/>
              </w:rPr>
              <w:t xml:space="preserve">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</w:t>
            </w:r>
            <w:r>
              <w:rPr>
                <w:sz w:val="20"/>
                <w:lang w:eastAsia="en-US"/>
              </w:rPr>
              <w:lastRenderedPageBreak/>
              <w:t>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плане-графике превышает эту величину, </w:t>
            </w:r>
            <w:r>
              <w:rPr>
                <w:sz w:val="20"/>
              </w:rPr>
              <w:lastRenderedPageBreak/>
              <w:t>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>
              <w:rPr>
                <w:sz w:val="20"/>
              </w:rPr>
              <w:lastRenderedPageBreak/>
              <w:t xml:space="preserve">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бюджетной </w:t>
            </w:r>
            <w:r w:rsidRPr="0014731B">
              <w:rPr>
                <w:sz w:val="20"/>
              </w:rPr>
              <w:lastRenderedPageBreak/>
              <w:t>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Заполняется на основании справочника обоснований внесения изменений в позицию </w:t>
            </w:r>
            <w:r w:rsidRPr="003D4286">
              <w:rPr>
                <w:sz w:val="20"/>
              </w:rPr>
              <w:lastRenderedPageBreak/>
              <w:t>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товара, работы </w:t>
            </w:r>
            <w:r w:rsidRPr="003C3387">
              <w:rPr>
                <w:sz w:val="20"/>
              </w:rPr>
              <w:lastRenderedPageBreak/>
              <w:t>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</w:t>
            </w:r>
            <w:r w:rsidRPr="003C3387">
              <w:rPr>
                <w:sz w:val="20"/>
              </w:rPr>
              <w:lastRenderedPageBreak/>
              <w:t xml:space="preserve">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 xml:space="preserve">для планов-графиков, </w:t>
            </w:r>
            <w:r w:rsidRPr="00493C91">
              <w:rPr>
                <w:sz w:val="20"/>
              </w:rPr>
              <w:lastRenderedPageBreak/>
              <w:t>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 xml:space="preserve">для планов-графиков, </w:t>
            </w:r>
            <w:r w:rsidRPr="00493C91">
              <w:rPr>
                <w:sz w:val="20"/>
              </w:rPr>
              <w:lastRenderedPageBreak/>
              <w:t>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 xml:space="preserve">на 2015 и </w:t>
            </w:r>
            <w:r w:rsidRPr="00830C36">
              <w:rPr>
                <w:sz w:val="20"/>
              </w:rPr>
              <w:lastRenderedPageBreak/>
              <w:t>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lastRenderedPageBreak/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</w:t>
            </w:r>
            <w:proofErr w:type="gramStart"/>
            <w:r w:rsidRPr="00933B37">
              <w:rPr>
                <w:sz w:val="20"/>
              </w:rPr>
              <w:t>\.\d{</w:t>
            </w:r>
            <w:proofErr w:type="gramEnd"/>
            <w:r w:rsidRPr="00933B37">
              <w:rPr>
                <w:sz w:val="20"/>
              </w:rPr>
              <w:t>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</w:t>
            </w:r>
            <w:proofErr w:type="gramStart"/>
            <w:r w:rsidRPr="00933B37">
              <w:rPr>
                <w:sz w:val="20"/>
              </w:rPr>
              <w:t>\.\d{</w:t>
            </w:r>
            <w:proofErr w:type="gramEnd"/>
            <w:r w:rsidRPr="00933B37">
              <w:rPr>
                <w:sz w:val="20"/>
              </w:rPr>
              <w:t>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</w:t>
            </w:r>
            <w:r>
              <w:rPr>
                <w:sz w:val="20"/>
              </w:rPr>
              <w:lastRenderedPageBreak/>
              <w:t>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lastRenderedPageBreak/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lastRenderedPageBreak/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 xml:space="preserve">Допустимо указание только </w:t>
            </w:r>
            <w:r w:rsidRPr="003804BF">
              <w:rPr>
                <w:sz w:val="20"/>
              </w:rPr>
              <w:lastRenderedPageBreak/>
              <w:t>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</w:t>
            </w:r>
            <w:r w:rsidRPr="006079C1">
              <w:rPr>
                <w:sz w:val="20"/>
              </w:rPr>
              <w:lastRenderedPageBreak/>
              <w:t xml:space="preserve">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lastRenderedPageBreak/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lastRenderedPageBreak/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</w:t>
            </w:r>
            <w:r>
              <w:rPr>
                <w:sz w:val="20"/>
              </w:rPr>
              <w:lastRenderedPageBreak/>
              <w:t xml:space="preserve">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</w:t>
            </w:r>
            <w:proofErr w:type="gramStart"/>
            <w:r w:rsidRPr="00680E73">
              <w:rPr>
                <w:sz w:val="20"/>
              </w:rPr>
              <w:t>)?\</w:t>
            </w:r>
            <w:proofErr w:type="gramEnd"/>
            <w:r w:rsidRPr="00680E73">
              <w:rPr>
                <w:sz w:val="20"/>
              </w:rPr>
              <w:t>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</w:t>
            </w:r>
            <w:proofErr w:type="gramStart"/>
            <w:r w:rsidRPr="00680E73">
              <w:rPr>
                <w:sz w:val="20"/>
              </w:rPr>
              <w:t>)?\</w:t>
            </w:r>
            <w:proofErr w:type="gramEnd"/>
            <w:r w:rsidRPr="00680E73">
              <w:rPr>
                <w:sz w:val="20"/>
              </w:rPr>
              <w:t>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 xml:space="preserve">Заполняется на основании справочника </w:t>
            </w:r>
            <w:r w:rsidRPr="00675499">
              <w:rPr>
                <w:sz w:val="20"/>
              </w:rPr>
              <w:lastRenderedPageBreak/>
              <w:t>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lastRenderedPageBreak/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Совокупный объем закупок, осуществляемых путем </w:t>
            </w:r>
            <w:r w:rsidRPr="006E6428">
              <w:rPr>
                <w:sz w:val="20"/>
              </w:rPr>
              <w:lastRenderedPageBreak/>
              <w:t>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lastRenderedPageBreak/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  <w:r w:rsidRPr="006E6428">
              <w:rPr>
                <w:sz w:val="20"/>
              </w:rPr>
              <w:t xml:space="preserve">Разрешено </w:t>
            </w:r>
            <w:r w:rsidRPr="006E6428">
              <w:rPr>
                <w:sz w:val="20"/>
              </w:rPr>
              <w:lastRenderedPageBreak/>
              <w:t>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 xml:space="preserve">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lastRenderedPageBreak/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Шаблон значения: \</w:t>
            </w:r>
            <w:proofErr w:type="gramStart"/>
            <w:r w:rsidRPr="00724833">
              <w:rPr>
                <w:sz w:val="20"/>
              </w:rPr>
              <w:t>d{</w:t>
            </w:r>
            <w:proofErr w:type="gramEnd"/>
            <w:r w:rsidRPr="00724833">
              <w:rPr>
                <w:sz w:val="20"/>
              </w:rPr>
              <w:t xml:space="preserve">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</w:t>
            </w:r>
            <w:r w:rsidDel="005B5AC0"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</w:t>
            </w:r>
            <w:r w:rsidRPr="00663F03">
              <w:rPr>
                <w:b/>
                <w:sz w:val="20"/>
              </w:rPr>
              <w:lastRenderedPageBreak/>
              <w:t>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</w:t>
            </w:r>
            <w:r w:rsidDel="005B5AC0"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lastRenderedPageBreak/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lastRenderedPageBreak/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1A4780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proofErr w:type="gramStart"/>
            <w:r w:rsidRPr="00BE6E27">
              <w:rPr>
                <w:sz w:val="20"/>
              </w:rPr>
              <w:t>Тип :</w:t>
            </w:r>
            <w:proofErr w:type="gramEnd"/>
            <w:r w:rsidRPr="00BE6E27">
              <w:rPr>
                <w:sz w:val="20"/>
              </w:rPr>
              <w:t xml:space="preserve">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F5668" w:rsidRDefault="00DE65FA" w:rsidP="004B5031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об исполнителе (ответственном за формирование </w:t>
            </w:r>
            <w:r w:rsidRPr="007D0FA6">
              <w:rPr>
                <w:sz w:val="20"/>
              </w:rPr>
              <w:lastRenderedPageBreak/>
              <w:t>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В случае если не заполнено при приеме, то заполняется </w:t>
            </w:r>
            <w:r w:rsidRPr="00326318">
              <w:rPr>
                <w:sz w:val="20"/>
              </w:rPr>
              <w:lastRenderedPageBreak/>
              <w:t>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 xml:space="preserve">В случае если принимается </w:t>
            </w:r>
            <w:r w:rsidRPr="007F112E">
              <w:rPr>
                <w:sz w:val="20"/>
                <w:lang w:eastAsia="en-US"/>
              </w:rPr>
              <w:lastRenderedPageBreak/>
              <w:t>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</w:t>
            </w:r>
            <w:proofErr w:type="gramEnd"/>
            <w:r w:rsidRPr="00A91BC9">
              <w:rPr>
                <w:sz w:val="20"/>
              </w:rPr>
              <w:t>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</w:t>
            </w:r>
            <w:proofErr w:type="gramEnd"/>
            <w:r w:rsidRPr="009F2553">
              <w:rPr>
                <w:sz w:val="20"/>
              </w:rPr>
              <w:t>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</w:t>
            </w:r>
            <w:proofErr w:type="gramEnd"/>
            <w:r w:rsidRPr="009F2553">
              <w:rPr>
                <w:sz w:val="20"/>
              </w:rPr>
              <w:t>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</w:t>
            </w:r>
            <w:proofErr w:type="gramEnd"/>
            <w:r w:rsidRPr="001B3256">
              <w:rPr>
                <w:sz w:val="20"/>
              </w:rPr>
              <w:t xml:space="preserve">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proofErr w:type="gramEnd"/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lastRenderedPageBreak/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</w:t>
            </w:r>
            <w:r w:rsidRPr="000C3C05">
              <w:rPr>
                <w:sz w:val="20"/>
              </w:rPr>
              <w:lastRenderedPageBreak/>
              <w:t>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 xml:space="preserve">Уполномоченная организация </w:t>
            </w:r>
            <w:r w:rsidRPr="000C3C05">
              <w:rPr>
                <w:sz w:val="20"/>
              </w:rPr>
              <w:lastRenderedPageBreak/>
              <w:t>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Описание см. описание блока </w:t>
            </w:r>
            <w:r w:rsidRPr="000C3C05">
              <w:rPr>
                <w:sz w:val="20"/>
              </w:rPr>
              <w:lastRenderedPageBreak/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Всего. Значение игнорируется при приеме. автоматически рассчитывается как сумма </w:t>
            </w:r>
            <w:r w:rsidRPr="001E38B2">
              <w:rPr>
                <w:sz w:val="20"/>
              </w:rPr>
              <w:lastRenderedPageBreak/>
              <w:t>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</w:t>
            </w:r>
            <w:r w:rsidRPr="000E5C85">
              <w:rPr>
                <w:sz w:val="20"/>
                <w:szCs w:val="20"/>
              </w:rPr>
              <w:lastRenderedPageBreak/>
              <w:t>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</w:t>
            </w:r>
            <w:proofErr w:type="gramStart"/>
            <w:r w:rsidRPr="000E5C85">
              <w:rPr>
                <w:sz w:val="20"/>
                <w:szCs w:val="20"/>
              </w:rPr>
              <w:t>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</w:t>
            </w:r>
            <w:proofErr w:type="gramEnd"/>
            <w:r w:rsidRPr="000E5C85">
              <w:rPr>
                <w:sz w:val="20"/>
                <w:szCs w:val="20"/>
              </w:rPr>
              <w:t xml:space="preserve">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Default="00FC4162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143BCB" w:rsidRDefault="00FC4162" w:rsidP="0089619C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43BCB" w:rsidRDefault="00FC4162" w:rsidP="0089619C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C4162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4162" w:rsidRPr="00906C87" w:rsidRDefault="00FC4162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FC4162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lastRenderedPageBreak/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4162" w:rsidRPr="008A61F3" w:rsidRDefault="00FC4162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4162" w:rsidRPr="00DF3E2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3050C8" w:rsidRDefault="00FC4162" w:rsidP="004B50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FC416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0145EF" w:rsidRDefault="00FC4162" w:rsidP="00FC41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C4162" w:rsidRDefault="00FC4162" w:rsidP="00FC416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</w:t>
            </w:r>
            <w:proofErr w:type="gramStart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)?\</w:t>
            </w:r>
            <w:proofErr w:type="gramEnd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d+(\.\d{1,11})?</w:t>
            </w:r>
          </w:p>
          <w:p w:rsidR="00FC4162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  <w:p w:rsidR="00FC4162" w:rsidRPr="003050C8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FC4162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4B5031" w:rsidRPr="004B5031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указано либо блоки pricePerUnit, </w:t>
            </w:r>
            <w:r w:rsidRPr="0087457C">
              <w:rPr>
                <w:sz w:val="20"/>
              </w:rPr>
              <w:t>drugSumPaymentsInfo</w:t>
            </w:r>
            <w:r>
              <w:rPr>
                <w:sz w:val="20"/>
              </w:rPr>
              <w:t xml:space="preserve"> либо блок </w:t>
            </w:r>
            <w:r w:rsidRPr="004B5031">
              <w:rPr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2A31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3164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14731B" w:rsidRDefault="004B5031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4B5031" w:rsidRPr="003050C8" w:rsidRDefault="004B5031" w:rsidP="002A3164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</w:t>
            </w:r>
            <w:r w:rsidR="002A3164">
              <w:rPr>
                <w:sz w:val="20"/>
                <w:lang w:val="en-US"/>
              </w:rPr>
              <w:t>11</w:t>
            </w:r>
            <w:r w:rsidRPr="00590F0B">
              <w:rPr>
                <w:sz w:val="20"/>
              </w:rPr>
              <w:t>})?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3050C8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4B5031">
            <w:pPr>
              <w:spacing w:before="0" w:after="0"/>
              <w:rPr>
                <w:sz w:val="20"/>
              </w:rPr>
            </w:pPr>
            <w:r w:rsidRPr="004B5031">
              <w:rPr>
                <w:sz w:val="20"/>
              </w:rPr>
              <w:t>Невозможно</w:t>
            </w:r>
            <w:r>
              <w:rPr>
                <w:sz w:val="20"/>
              </w:rPr>
              <w:t xml:space="preserve"> определить количество (объём).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7F2871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(positions/position/KTRUInfo/drugPurchaseObjectsInfo/quantityUndefined)</w:t>
            </w:r>
          </w:p>
        </w:tc>
      </w:tr>
      <w:tr w:rsidR="004B5031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B5031" w:rsidRPr="00906C87" w:rsidRDefault="004B5031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B5031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B5031" w:rsidRPr="008A61F3" w:rsidRDefault="004B5031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B5031" w:rsidRPr="00DF3E2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5031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9A5F7A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0145EF" w:rsidRDefault="004B5031" w:rsidP="004B5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B5031" w:rsidRDefault="004B5031" w:rsidP="004B5031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</w:t>
            </w:r>
            <w:proofErr w:type="gramStart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)?\</w:t>
            </w:r>
            <w:proofErr w:type="gramEnd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d+(\.\d{1,11})?</w:t>
            </w:r>
          </w:p>
          <w:p w:rsidR="004B5031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  <w:p w:rsidR="004B5031" w:rsidRPr="003050C8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lastRenderedPageBreak/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lastRenderedPageBreak/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 xml:space="preserve">Бизнес-контролем проверяется, что блок может быть заполнен только в случае если способ определения поставщика по закупке -- «Закупка у единственного </w:t>
            </w:r>
            <w:proofErr w:type="gramStart"/>
            <w:r w:rsidRPr="001D4569">
              <w:rPr>
                <w:sz w:val="20"/>
              </w:rPr>
              <w:t>поставщика(</w:t>
            </w:r>
            <w:proofErr w:type="gramEnd"/>
            <w:r w:rsidRPr="001D4569">
              <w:rPr>
                <w:sz w:val="20"/>
              </w:rPr>
              <w:t>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</w:t>
            </w:r>
            <w:r w:rsidRPr="004C6AA7">
              <w:rPr>
                <w:sz w:val="20"/>
              </w:rPr>
              <w:lastRenderedPageBreak/>
              <w:t xml:space="preserve">packagingInfo во </w:t>
            </w:r>
            <w:proofErr w:type="gramStart"/>
            <w:r w:rsidRPr="004C6AA7">
              <w:rPr>
                <w:sz w:val="20"/>
              </w:rPr>
              <w:t>всех  вариантах</w:t>
            </w:r>
            <w:proofErr w:type="gramEnd"/>
            <w:r w:rsidRPr="004C6AA7">
              <w:rPr>
                <w:sz w:val="20"/>
              </w:rPr>
              <w:t xml:space="preserve">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9609F3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664D40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 xml:space="preserve">Игнорируется при приеме, заполняется автоматически при передаче в случае если заполнено поле averagePriceValue округленным значением drugQuantityInfo\total * </w:t>
            </w:r>
            <w:r w:rsidRPr="009609F3">
              <w:rPr>
                <w:sz w:val="20"/>
              </w:rPr>
              <w:lastRenderedPageBreak/>
              <w:t>averagePriceValue. Не выгружается при указании блока «Невозможно определить количество (объём)» (KTRUInfo/drugPurchaseObjectsInfo/quantityUndefined).</w:t>
            </w: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7D0CB1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B405FA" w:rsidRDefault="002A3164" w:rsidP="0091683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F755CB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Средневзвешенная цена за единицу товара, работы, услуги по справочнику "Лекарственные препараты" (nsiFarmDrugDictionary) (блок "Референтные цены" (MNNsInfo\MNNInfo\pricesInfo</w:t>
            </w:r>
            <w:r w:rsidR="008F210B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BE6221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 xml:space="preserve">Сумма выплат по средневзвешенной </w:t>
            </w:r>
            <w:r>
              <w:rPr>
                <w:sz w:val="20"/>
              </w:rPr>
              <w:t>цене за единицу товара (всего)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Default="002A3164" w:rsidP="0091683C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Игнорируется при приеме, заполняется автоматически при передаче в случае если заполнено поле averagePriceValue округленным значением drugQuantityInfo\total * productsAveragePrice. Не выгружается при указании блока «Невозможно определить количество (объём)» (KTRUInfo/drugPurchas</w:t>
            </w:r>
            <w:r>
              <w:rPr>
                <w:sz w:val="20"/>
              </w:rPr>
              <w:t>eObjectsInfo/quantityUndefined)</w:t>
            </w:r>
          </w:p>
          <w:p w:rsidR="002A3164" w:rsidRDefault="002A3164" w:rsidP="0091683C">
            <w:pPr>
              <w:spacing w:before="0" w:after="0"/>
              <w:rPr>
                <w:sz w:val="20"/>
              </w:rPr>
            </w:pPr>
          </w:p>
          <w:p w:rsidR="002A3164" w:rsidRPr="000145EF" w:rsidRDefault="002A3164" w:rsidP="0091683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lastRenderedPageBreak/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proofErr w:type="gramStart"/>
            <w:r w:rsidRPr="00F66DDD">
              <w:rPr>
                <w:sz w:val="20"/>
              </w:rPr>
              <w:t>поле</w:t>
            </w:r>
            <w:proofErr w:type="gramEnd"/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 xml:space="preserve">Значение игнорируется при </w:t>
            </w:r>
            <w:r w:rsidRPr="00B169BD">
              <w:rPr>
                <w:sz w:val="20"/>
              </w:rPr>
              <w:lastRenderedPageBreak/>
              <w:t>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 xml:space="preserve">В случае указания блока контролируется заполненность блока packagingInfo во </w:t>
            </w:r>
            <w:proofErr w:type="gramStart"/>
            <w:r w:rsidRPr="005A6E09">
              <w:rPr>
                <w:sz w:val="20"/>
              </w:rPr>
              <w:t>всех  вариантах</w:t>
            </w:r>
            <w:proofErr w:type="gramEnd"/>
            <w:r w:rsidRPr="005A6E09">
              <w:rPr>
                <w:sz w:val="20"/>
              </w:rPr>
              <w:t xml:space="preserve">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</w:t>
            </w:r>
            <w:proofErr w:type="gramStart"/>
            <w:r w:rsidRPr="004C6AA7">
              <w:rPr>
                <w:sz w:val="20"/>
              </w:rPr>
              <w:t>всех  вариантах</w:t>
            </w:r>
            <w:proofErr w:type="gramEnd"/>
            <w:r w:rsidRPr="004C6AA7">
              <w:rPr>
                <w:sz w:val="20"/>
              </w:rPr>
              <w:t xml:space="preserve">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9609F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9609F3" w:rsidP="000522C6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 xml:space="preserve">) для записи </w:t>
            </w:r>
            <w:r w:rsidRPr="00FB6AA3">
              <w:rPr>
                <w:sz w:val="20"/>
              </w:rPr>
              <w:lastRenderedPageBreak/>
              <w:t>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5820D1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lastRenderedPageBreak/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2A3164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 xml:space="preserve">При приеме в ЕИС контролируется заполненность </w:t>
            </w:r>
            <w:r w:rsidRPr="00830076">
              <w:rPr>
                <w:sz w:val="20"/>
              </w:rPr>
              <w:lastRenderedPageBreak/>
              <w:t>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 xml:space="preserve"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</w:t>
            </w:r>
            <w:r w:rsidRPr="00D145BA">
              <w:rPr>
                <w:sz w:val="20"/>
              </w:rPr>
              <w:lastRenderedPageBreak/>
              <w:t>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lastRenderedPageBreak/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</w:t>
            </w:r>
            <w:proofErr w:type="gramStart"/>
            <w:r w:rsidRPr="00E10B99">
              <w:rPr>
                <w:sz w:val="20"/>
              </w:rPr>
              <w:t>*,zfcs</w:t>
            </w:r>
            <w:proofErr w:type="gramEnd"/>
            <w:r w:rsidRPr="00E10B99">
              <w:rPr>
                <w:sz w:val="20"/>
              </w:rPr>
              <w:t>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lastRenderedPageBreak/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</w:t>
            </w:r>
            <w:proofErr w:type="gramStart"/>
            <w:r w:rsidRPr="000A3E00">
              <w:rPr>
                <w:sz w:val="20"/>
              </w:rPr>
              <w:t xml:space="preserve">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</w:t>
            </w:r>
            <w:proofErr w:type="gramEnd"/>
            <w:r w:rsidRPr="000A3E00">
              <w:rPr>
                <w:sz w:val="20"/>
              </w:rPr>
              <w:t xml:space="preserve">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lastRenderedPageBreak/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lastRenderedPageBreak/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2583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F81821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versionId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Идентификатор версии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2583C" w:rsidRPr="00460CBE" w:rsidRDefault="0052583C" w:rsidP="00F81821">
            <w:pPr>
              <w:spacing w:before="0" w:after="0"/>
              <w:jc w:val="both"/>
              <w:rPr>
                <w:sz w:val="20"/>
              </w:rPr>
            </w:pPr>
            <w:r w:rsidRPr="0052583C">
              <w:rPr>
                <w:sz w:val="20"/>
              </w:rPr>
              <w:t>Не используется, добавлено на развитие</w:t>
            </w:r>
          </w:p>
        </w:tc>
      </w:tr>
      <w:tr w:rsidR="0052583C" w:rsidRPr="001A4780" w:rsidTr="0052583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525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Номер версии позиции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2583C" w:rsidRPr="00460CBE" w:rsidRDefault="0052583C" w:rsidP="0052583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Также контролируется соответствие кода по ОКЕИ (блок </w:t>
            </w:r>
            <w:proofErr w:type="gramStart"/>
            <w:r w:rsidRPr="00475319">
              <w:rPr>
                <w:sz w:val="20"/>
              </w:rPr>
              <w:t>OKEI)  коду</w:t>
            </w:r>
            <w:proofErr w:type="gramEnd"/>
            <w:r w:rsidRPr="00475319">
              <w:rPr>
                <w:sz w:val="20"/>
              </w:rPr>
              <w:t xml:space="preserve">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 xml:space="preserve">Если признак «Планируется заключение энергосервисного контракта» (isEnergyServiceContract), наследован/установлен в значение </w:t>
            </w:r>
            <w:r w:rsidRPr="002A782B">
              <w:rPr>
                <w:sz w:val="20"/>
              </w:rPr>
              <w:lastRenderedPageBreak/>
              <w:t>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5820D1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</w:t>
            </w:r>
            <w:r w:rsidRPr="00694F6C">
              <w:rPr>
                <w:sz w:val="20"/>
              </w:rPr>
              <w:lastRenderedPageBreak/>
              <w:t xml:space="preserve">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lastRenderedPageBreak/>
              <w:t xml:space="preserve">Если заполнено поле amount, то значение поля рассчитывается </w:t>
            </w:r>
            <w:r w:rsidRPr="00FD06E3">
              <w:rPr>
                <w:sz w:val="20"/>
              </w:rPr>
              <w:lastRenderedPageBreak/>
              <w:t>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lastRenderedPageBreak/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E232BB" w:rsidRDefault="00614C17" w:rsidP="001927B8">
            <w:pPr>
              <w:spacing w:before="0" w:after="0"/>
              <w:jc w:val="both"/>
              <w:rPr>
                <w:sz w:val="20"/>
              </w:rPr>
            </w:pPr>
            <w:r w:rsidRPr="00614C17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financeInfo\maxPrice. Не допускается заполнение и не производится автоматический рассчет при указании в блоке purchaseConditions/preferensesRequirements/preferenseRequirement ограничения «Закупка у субъектов малого предпринимательства и социально ориентированных некоммерческих организаций» в соответствии со справоником "Преимущества (требования, ограничения) к участникам закупки" (nsiPurchasePreferences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 xml:space="preserve">Планируемая периодичность поставки товаров (выполнения </w:t>
            </w:r>
            <w:r w:rsidRPr="00547C2A">
              <w:rPr>
                <w:sz w:val="20"/>
              </w:rPr>
              <w:lastRenderedPageBreak/>
              <w:t>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>Для позиций, размещенных ПОСЛЕ выхода версии 9.0 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lastRenderedPageBreak/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452EB6" w:rsidRDefault="00452EB6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452EB6" w:rsidP="00F426A9">
            <w:pPr>
              <w:spacing w:before="0" w:after="0"/>
              <w:rPr>
                <w:sz w:val="20"/>
              </w:rPr>
            </w:pPr>
            <w:r w:rsidRPr="00452EB6">
              <w:rPr>
                <w:sz w:val="20"/>
              </w:rPr>
              <w:t>Обоснование невозможности соблюдения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</w:t>
            </w:r>
            <w:r w:rsidRPr="0016437E">
              <w:rPr>
                <w:sz w:val="20"/>
              </w:rPr>
              <w:lastRenderedPageBreak/>
              <w:t>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 xml:space="preserve">Обоснование дополнительного </w:t>
            </w:r>
            <w:r w:rsidRPr="0016437E">
              <w:rPr>
                <w:sz w:val="20"/>
              </w:rPr>
              <w:lastRenderedPageBreak/>
              <w:t>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</w:t>
            </w:r>
            <w:proofErr w:type="gramStart"/>
            <w:r w:rsidRPr="00426A0E">
              <w:rPr>
                <w:sz w:val="20"/>
                <w:lang w:eastAsia="en-US"/>
              </w:rPr>
              <w:t>*,zfcs</w:t>
            </w:r>
            <w:proofErr w:type="gramEnd"/>
            <w:r w:rsidRPr="00426A0E">
              <w:rPr>
                <w:sz w:val="20"/>
                <w:lang w:eastAsia="en-US"/>
              </w:rPr>
              <w:t>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</w:t>
            </w:r>
            <w:r w:rsidRPr="00B35C64">
              <w:rPr>
                <w:sz w:val="20"/>
                <w:lang w:eastAsia="en-US"/>
              </w:rPr>
              <w:lastRenderedPageBreak/>
              <w:t xml:space="preserve">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lastRenderedPageBreak/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</w:t>
            </w:r>
            <w:proofErr w:type="gramStart"/>
            <w:r w:rsidRPr="005D37E0">
              <w:rPr>
                <w:sz w:val="20"/>
              </w:rPr>
              <w:t>d{</w:t>
            </w:r>
            <w:proofErr w:type="gramEnd"/>
            <w:r w:rsidRPr="005D37E0">
              <w:rPr>
                <w:sz w:val="20"/>
              </w:rPr>
              <w:t>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 xml:space="preserve">При приеме </w:t>
            </w:r>
            <w:proofErr w:type="gramStart"/>
            <w:r w:rsidRPr="00D37A12">
              <w:rPr>
                <w:sz w:val="20"/>
                <w:lang w:eastAsia="en-US"/>
              </w:rPr>
              <w:t>значение  контролируется</w:t>
            </w:r>
            <w:proofErr w:type="gramEnd"/>
            <w:r w:rsidRPr="00D37A12">
              <w:rPr>
                <w:sz w:val="20"/>
                <w:lang w:eastAsia="en-US"/>
              </w:rPr>
              <w:t xml:space="preserve">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</w:rPr>
              <w:lastRenderedPageBreak/>
              <w:t>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 xml:space="preserve">Обоснование невозможности применения для определения и </w:t>
            </w:r>
            <w:r w:rsidRPr="008F3408">
              <w:rPr>
                <w:sz w:val="20"/>
              </w:rPr>
              <w:lastRenderedPageBreak/>
              <w:t>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</w:t>
            </w:r>
            <w:proofErr w:type="gramEnd"/>
            <w:r w:rsidRPr="009A587F">
              <w:rPr>
                <w:sz w:val="20"/>
              </w:rPr>
              <w:t xml:space="preserve">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</w:t>
            </w:r>
            <w:r w:rsidRPr="005E58E6">
              <w:rPr>
                <w:sz w:val="20"/>
              </w:rPr>
              <w:lastRenderedPageBreak/>
              <w:t xml:space="preserve">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lastRenderedPageBreak/>
              <w:t xml:space="preserve">Игнорируется при приеме, </w:t>
            </w:r>
            <w:proofErr w:type="gramStart"/>
            <w:r w:rsidRPr="005E58E6">
              <w:rPr>
                <w:sz w:val="20"/>
              </w:rPr>
              <w:t>Рассчитывается</w:t>
            </w:r>
            <w:proofErr w:type="gramEnd"/>
            <w:r w:rsidRPr="005E58E6">
              <w:rPr>
                <w:sz w:val="20"/>
              </w:rPr>
              <w:t xml:space="preserve">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lastRenderedPageBreak/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</w:t>
            </w:r>
            <w:r w:rsidR="003D29E9">
              <w:rPr>
                <w:sz w:val="20"/>
              </w:rPr>
              <w:t>, 9.2, 9.3, 10.0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 xml:space="preserve">Внешний идентификатор </w:t>
            </w:r>
            <w:r w:rsidRPr="00C67CB0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66CA5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25B4"/>
    <w:rsid w:val="00293D1B"/>
    <w:rsid w:val="00294591"/>
    <w:rsid w:val="00294919"/>
    <w:rsid w:val="0029638C"/>
    <w:rsid w:val="002A0EDB"/>
    <w:rsid w:val="002A293B"/>
    <w:rsid w:val="002A3164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29E9"/>
    <w:rsid w:val="003D6715"/>
    <w:rsid w:val="003D7A99"/>
    <w:rsid w:val="003E10FF"/>
    <w:rsid w:val="003E3B58"/>
    <w:rsid w:val="003E746F"/>
    <w:rsid w:val="003E779E"/>
    <w:rsid w:val="003F645D"/>
    <w:rsid w:val="004076B3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2EB6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B5031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7BE2"/>
    <w:rsid w:val="005107C0"/>
    <w:rsid w:val="00511E76"/>
    <w:rsid w:val="00512C28"/>
    <w:rsid w:val="005223C1"/>
    <w:rsid w:val="0052583C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0D1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14C17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210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09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685A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755CB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4162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03726B-6028-4355-AF7A-E629C043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10284</TotalTime>
  <Pages>1</Pages>
  <Words>49739</Words>
  <Characters>283513</Characters>
  <Application>Microsoft Office Word</Application>
  <DocSecurity>0</DocSecurity>
  <Lines>2362</Lines>
  <Paragraphs>665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280</cp:revision>
  <dcterms:created xsi:type="dcterms:W3CDTF">2014-10-22T09:24:00Z</dcterms:created>
  <dcterms:modified xsi:type="dcterms:W3CDTF">2019-11-21T09:04:00Z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