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Pr="00643EA1">
        <w:t>5</w:t>
      </w:r>
    </w:p>
    <w:p w:rsidR="00BD4914" w:rsidRPr="00E955E1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A68BB" w:rsidRPr="008A68BB">
        <w:rPr>
          <w:sz w:val="28"/>
        </w:rPr>
        <w:t>10</w:t>
      </w:r>
      <w:r w:rsidR="0032276D">
        <w:rPr>
          <w:sz w:val="28"/>
        </w:rPr>
        <w:t>.</w:t>
      </w:r>
      <w:r w:rsidR="008A68BB" w:rsidRPr="00E955E1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1" w:name="_Toc360100533"/>
      <w:bookmarkStart w:id="2" w:name="_Toc390789638"/>
      <w:bookmarkStart w:id="3" w:name="_Toc390789694"/>
      <w:r w:rsidR="007F3A35" w:rsidRPr="006D649D">
        <w:t>Информация о подписании государственного/муниципального контракта</w:t>
      </w:r>
      <w:bookmarkEnd w:id="1"/>
      <w:r w:rsidR="007F3A35" w:rsidRPr="00BF2B4A">
        <w:t xml:space="preserve"> </w:t>
      </w:r>
      <w:r w:rsidR="007F3A35">
        <w:t>на ЭП</w:t>
      </w:r>
      <w:bookmarkEnd w:id="2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4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4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9.3, 10.0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5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 xml:space="preserve">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8" w:name="_Toc390789653"/>
      <w:r w:rsidRPr="005C4C39">
        <w:t>Извещение об отмене определения поставщика (подрядчика, исполнителя)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9.3, 10.0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lastRenderedPageBreak/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proofErr w:type="spellStart"/>
            <w:r w:rsidRPr="009E3CC1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</w:t>
            </w:r>
            <w:r w:rsidRPr="004A5F56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9" w:name="_Toc390789654"/>
      <w:r w:rsidRPr="001B3D35">
        <w:t>Извещение об отмене определения поставщика (подрядчика, исполнителя) в части лота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9.3, 10.0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 xml:space="preserve">Лот извещения, в части которого </w:t>
            </w:r>
            <w:r w:rsidRPr="001B3D35">
              <w:rPr>
                <w:sz w:val="20"/>
              </w:rPr>
              <w:lastRenderedPageBreak/>
              <w:t>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0" w:name="_Toc390789655"/>
      <w:r w:rsidRPr="00AF4AE2">
        <w:t>Информация о документе закупки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9.3, 10.0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В ЕИС</w:t>
            </w:r>
            <w:r w:rsidR="007F3A35" w:rsidRPr="004964F7">
              <w:rPr>
                <w:sz w:val="20"/>
              </w:rPr>
              <w:t xml:space="preserve"> контролируется </w:t>
            </w:r>
            <w:r w:rsidR="007F3A35" w:rsidRPr="004964F7">
              <w:rPr>
                <w:sz w:val="20"/>
              </w:rPr>
              <w:lastRenderedPageBreak/>
              <w:t>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lastRenderedPageBreak/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>Для документов из пар типов PRO-PRE (протоколы рассмотрения и оценки заявок и 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</w:t>
            </w:r>
            <w:r>
              <w:rPr>
                <w:sz w:val="20"/>
              </w:rPr>
              <w:lastRenderedPageBreak/>
              <w:t xml:space="preserve">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1" w:name="_Toc390789656"/>
      <w:r w:rsidRPr="00400017">
        <w:t>Информация об отмене документа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9.3, 10.0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2" w:name="_Toc390789657"/>
      <w:r w:rsidRPr="00997F9C">
        <w:t>Разъяснение конкурсной или аукционной документации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9.3, 10.0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8"/>
      <w:r w:rsidRPr="006E68D2">
        <w:t>Запрос на разъяснение конкурсной/аукционной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lastRenderedPageBreak/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9.3, 10.0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9"/>
      <w:r w:rsidRPr="00BF0DB9">
        <w:lastRenderedPageBreak/>
        <w:t>Время проведения электронного аукциона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9.3, 10.0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9.3, 10.0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lastRenderedPageBreak/>
              <w:t>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E955E1">
      <w:pPr>
        <w:pStyle w:val="20"/>
        <w:numPr>
          <w:ilvl w:val="0"/>
          <w:numId w:val="3"/>
        </w:numPr>
      </w:pPr>
      <w:r w:rsidRPr="00A35016">
        <w:t>Уведомление о продлении срока рассмотрения и оценки заявок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9.3, 10.0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9.3, 10.0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GoBack"/>
      <w:bookmarkEnd w:id="17"/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9.3, 10.0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lastRenderedPageBreak/>
              <w:t>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</w:t>
            </w:r>
            <w:r w:rsidRPr="00440193">
              <w:rPr>
                <w:sz w:val="20"/>
              </w:rPr>
              <w:lastRenderedPageBreak/>
              <w:t xml:space="preserve">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 xml:space="preserve">OCN - Заказчик, осуществляющий закупки в </w:t>
            </w:r>
            <w:r w:rsidRPr="00EE49A3">
              <w:rPr>
                <w:sz w:val="20"/>
              </w:rPr>
              <w:lastRenderedPageBreak/>
              <w:t>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- Орган исполнительной власти </w:t>
            </w:r>
            <w:r w:rsidRPr="00047DB7">
              <w:rPr>
                <w:sz w:val="20"/>
              </w:rPr>
              <w:lastRenderedPageBreak/>
              <w:t>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 xml:space="preserve">, </w:t>
            </w:r>
            <w:r w:rsidR="006E24A9">
              <w:rPr>
                <w:sz w:val="20"/>
                <w:lang w:val="en-US"/>
              </w:rPr>
              <w:lastRenderedPageBreak/>
              <w:t>9.2, 9.3, 10.0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</w:t>
            </w:r>
            <w:r w:rsidRPr="008A7297">
              <w:rPr>
                <w:sz w:val="20"/>
              </w:rPr>
              <w:lastRenderedPageBreak/>
              <w:t>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</w:t>
            </w:r>
            <w:r w:rsidRPr="008A7297">
              <w:rPr>
                <w:sz w:val="20"/>
              </w:rPr>
              <w:lastRenderedPageBreak/>
              <w:t>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</w:t>
            </w:r>
            <w:r w:rsidRPr="008A7297">
              <w:rPr>
                <w:sz w:val="20"/>
              </w:rPr>
              <w:lastRenderedPageBreak/>
              <w:t>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lastRenderedPageBreak/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</w:t>
            </w:r>
            <w:r w:rsidRPr="00D647A6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</w:t>
            </w:r>
            <w:r w:rsidRPr="008E30C0">
              <w:rPr>
                <w:sz w:val="20"/>
              </w:rPr>
              <w:lastRenderedPageBreak/>
              <w:t>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0F23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F23F3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0F23F3" w:rsidRPr="000F23F3">
              <w:rPr>
                <w:sz w:val="20"/>
              </w:rPr>
              <w:t>(-)?\d+(\.\d{1,11})?</w:t>
            </w:r>
          </w:p>
        </w:tc>
      </w:tr>
      <w:bookmarkEnd w:id="3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 w:numId="3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4368"/>
    <w:rsid w:val="000A0226"/>
    <w:rsid w:val="000A57C1"/>
    <w:rsid w:val="000B1E29"/>
    <w:rsid w:val="000C5E9A"/>
    <w:rsid w:val="000F23F3"/>
    <w:rsid w:val="001013F5"/>
    <w:rsid w:val="001047F7"/>
    <w:rsid w:val="00106170"/>
    <w:rsid w:val="00123D68"/>
    <w:rsid w:val="0019489B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D4619"/>
    <w:rsid w:val="006D4BB0"/>
    <w:rsid w:val="006E24A9"/>
    <w:rsid w:val="00721EC0"/>
    <w:rsid w:val="00726CC4"/>
    <w:rsid w:val="00735ECF"/>
    <w:rsid w:val="00764224"/>
    <w:rsid w:val="007F3A35"/>
    <w:rsid w:val="00807018"/>
    <w:rsid w:val="0081544C"/>
    <w:rsid w:val="008679D7"/>
    <w:rsid w:val="008A68BB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9F470F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66C22"/>
    <w:rsid w:val="00B74D93"/>
    <w:rsid w:val="00BA46FF"/>
    <w:rsid w:val="00BD4914"/>
    <w:rsid w:val="00C0217E"/>
    <w:rsid w:val="00C04DE1"/>
    <w:rsid w:val="00C51BF3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955E1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9746</Words>
  <Characters>55553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132</cp:revision>
  <dcterms:created xsi:type="dcterms:W3CDTF">2015-01-28T10:16:00Z</dcterms:created>
  <dcterms:modified xsi:type="dcterms:W3CDTF">2019-11-21T09:53:00Z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