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47498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10</w:t>
      </w:r>
      <w:r w:rsidR="00E97AA5" w:rsidRPr="00E97AA5">
        <w:rPr>
          <w:sz w:val="28"/>
        </w:rPr>
        <w:t>.</w:t>
      </w:r>
      <w:r w:rsidR="008C0139" w:rsidRPr="0047498A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bookmarkStart w:id="1" w:name="_GoBack"/>
      <w:bookmarkEnd w:id="1"/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Элемент не заполняется при приёме первой версии договора, присевается автоматически после </w:t>
            </w:r>
            <w:r w:rsidRPr="00192E67">
              <w:rPr>
                <w:sz w:val="20"/>
                <w:lang w:eastAsia="en-US"/>
              </w:rPr>
              <w:lastRenderedPageBreak/>
              <w:t>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lastRenderedPageBreak/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lastRenderedPageBreak/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 xml:space="preserve">Наименования и реквизиты </w:t>
            </w:r>
            <w:r w:rsidRPr="009F7EAF">
              <w:rPr>
                <w:sz w:val="20"/>
                <w:lang w:eastAsia="en-US"/>
              </w:rPr>
              <w:lastRenderedPageBreak/>
              <w:t>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В случае если организация </w:t>
            </w:r>
            <w:r w:rsidRPr="000521E4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Учредители, члены </w:t>
            </w:r>
            <w:r w:rsidRPr="004A2BAE">
              <w:rPr>
                <w:sz w:val="20"/>
                <w:lang w:eastAsia="en-US"/>
              </w:rPr>
              <w:lastRenderedPageBreak/>
              <w:t>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lastRenderedPageBreak/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9.3, 10.0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 xml:space="preserve">Справочник: Основания для исключения сведений из реестра квалифицированных подрядных организаций по ПП </w:t>
            </w:r>
            <w:r w:rsidRPr="008865A1">
              <w:rPr>
                <w:b/>
                <w:sz w:val="20"/>
              </w:rPr>
              <w:lastRenderedPageBreak/>
              <w:t>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lastRenderedPageBreak/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</w:t>
            </w:r>
            <w:r w:rsidRPr="006E4E7D">
              <w:rPr>
                <w:b/>
                <w:sz w:val="20"/>
              </w:rPr>
              <w:lastRenderedPageBreak/>
              <w:t>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lastRenderedPageBreak/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215DC91-0E5A-4747-9C27-564B767A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7896</TotalTime>
  <Pages>1</Pages>
  <Words>20119</Words>
  <Characters>114681</Characters>
  <Application>Microsoft Office Word</Application>
  <DocSecurity>0</DocSecurity>
  <Lines>955</Lines>
  <Paragraphs>269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131</cp:revision>
  <dcterms:created xsi:type="dcterms:W3CDTF">2017-11-16T14:32:00Z</dcterms:created>
  <dcterms:modified xsi:type="dcterms:W3CDTF">2019-11-21T09:55:00Z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