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1E3149">
        <w:t>9</w:t>
      </w:r>
    </w:p>
    <w:p w:rsidR="0065472C" w:rsidRPr="008B6877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C0139" w:rsidRPr="008C0139">
        <w:rPr>
          <w:sz w:val="28"/>
        </w:rPr>
        <w:t>10</w:t>
      </w:r>
      <w:r w:rsidR="00E97AA5" w:rsidRPr="00E97AA5">
        <w:rPr>
          <w:sz w:val="28"/>
        </w:rPr>
        <w:t>.</w:t>
      </w:r>
      <w:r w:rsidR="008B6877" w:rsidRPr="008B6877">
        <w:rPr>
          <w:sz w:val="28"/>
        </w:rPr>
        <w:t>3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lastRenderedPageBreak/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</w:t>
            </w:r>
            <w:r w:rsidRPr="00256D81">
              <w:rPr>
                <w:b/>
                <w:sz w:val="20"/>
              </w:rPr>
              <w:lastRenderedPageBreak/>
              <w:t>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RPO - Орган, уполномоченный на 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 xml:space="preserve">. При приеме контролируется обязательность </w:t>
            </w:r>
            <w:r w:rsidRPr="00126C9D">
              <w:rPr>
                <w:sz w:val="20"/>
                <w:lang w:eastAsia="en-US"/>
              </w:rPr>
              <w:lastRenderedPageBreak/>
              <w:t>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</w:t>
            </w:r>
            <w:r w:rsidRPr="00301389">
              <w:rPr>
                <w:color w:val="000000"/>
                <w:sz w:val="20"/>
              </w:rPr>
              <w:lastRenderedPageBreak/>
              <w:t>заполняется ссылкой на карточку 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</w:t>
            </w:r>
            <w:r w:rsidRPr="00301389">
              <w:rPr>
                <w:sz w:val="20"/>
                <w:lang w:eastAsia="en-US"/>
              </w:rPr>
              <w:lastRenderedPageBreak/>
              <w:t>передаче заполняется значением 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</w:t>
            </w:r>
            <w:r w:rsidRPr="002C15EF">
              <w:rPr>
                <w:sz w:val="20"/>
              </w:rPr>
              <w:lastRenderedPageBreak/>
              <w:t>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 xml:space="preserve">Вид услуги или работы в </w:t>
            </w:r>
            <w:r w:rsidRPr="002C15EF">
              <w:rPr>
                <w:sz w:val="20"/>
              </w:rPr>
              <w:lastRenderedPageBreak/>
              <w:t>соответствии с ч. 1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lastRenderedPageBreak/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</w:t>
            </w:r>
            <w:r>
              <w:rPr>
                <w:sz w:val="20"/>
                <w:lang w:eastAsia="en-US"/>
              </w:rPr>
              <w:lastRenderedPageBreak/>
              <w:t xml:space="preserve">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lastRenderedPageBreak/>
              <w:t>servicesWorksKindSubjectRFNPAInfo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</w:t>
            </w:r>
            <w:proofErr w:type="gramStart"/>
            <w:r w:rsidRPr="004D7B15">
              <w:rPr>
                <w:sz w:val="20"/>
                <w:lang w:eastAsia="en-US"/>
              </w:rPr>
              <w:t>на  присутствие</w:t>
            </w:r>
            <w:proofErr w:type="gramEnd"/>
            <w:r w:rsidRPr="004D7B15">
              <w:rPr>
                <w:sz w:val="20"/>
                <w:lang w:eastAsia="en-US"/>
              </w:rPr>
              <w:t xml:space="preserve">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</w:t>
            </w:r>
            <w:r w:rsidRPr="00015E7E">
              <w:rPr>
                <w:b/>
                <w:sz w:val="20"/>
              </w:rPr>
              <w:lastRenderedPageBreak/>
              <w:t>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lastRenderedPageBreak/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 xml:space="preserve">Игнорируется при приёме первой </w:t>
            </w:r>
            <w:r w:rsidRPr="008206FF">
              <w:rPr>
                <w:color w:val="000000"/>
                <w:sz w:val="20"/>
              </w:rPr>
              <w:lastRenderedPageBreak/>
              <w:t>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</w:t>
            </w:r>
            <w:r w:rsidRPr="004C09C3">
              <w:rPr>
                <w:sz w:val="20"/>
              </w:rPr>
              <w:lastRenderedPageBreak/>
              <w:t>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</w:t>
            </w:r>
            <w:r w:rsidRPr="004C09C3">
              <w:rPr>
                <w:sz w:val="20"/>
              </w:rPr>
              <w:lastRenderedPageBreak/>
              <w:t xml:space="preserve">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 xml:space="preserve">Код организационно-правовой </w:t>
            </w:r>
            <w:r w:rsidRPr="005E173C">
              <w:rPr>
                <w:sz w:val="20"/>
              </w:rPr>
              <w:lastRenderedPageBreak/>
              <w:t>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 xml:space="preserve">Игнорируется при приеме. При передаче заполняется значением из справочника </w:t>
            </w:r>
            <w:r w:rsidRPr="00055F6D">
              <w:rPr>
                <w:sz w:val="20"/>
              </w:rPr>
              <w:lastRenderedPageBreak/>
              <w:t>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</w:t>
            </w:r>
            <w:r w:rsidRPr="008E08A6">
              <w:lastRenderedPageBreak/>
              <w:t>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lastRenderedPageBreak/>
              <w:t>qualificationSubject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размещения первой версии документа. Игнорируется при приёме, заполняется 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</w:t>
            </w:r>
            <w:r w:rsidRPr="002074D6">
              <w:rPr>
                <w:sz w:val="20"/>
                <w:lang w:eastAsia="en-US"/>
              </w:rPr>
              <w:lastRenderedPageBreak/>
              <w:t>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lastRenderedPageBreak/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lastRenderedPageBreak/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</w:t>
            </w:r>
            <w:r w:rsidR="003D5136">
              <w:rPr>
                <w:sz w:val="20"/>
              </w:rPr>
              <w:lastRenderedPageBreak/>
              <w:t>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DF1694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169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lastRenderedPageBreak/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lastRenderedPageBreak/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DF1694" w:rsidRDefault="00DF1694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DF1694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В случае если организация </w:t>
            </w:r>
            <w:r w:rsidRPr="000C58F3">
              <w:rPr>
                <w:sz w:val="20"/>
              </w:rPr>
              <w:lastRenderedPageBreak/>
              <w:t>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lastRenderedPageBreak/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Специализированная </w:t>
            </w:r>
            <w:proofErr w:type="gramStart"/>
            <w:r w:rsidRPr="00510204">
              <w:rPr>
                <w:sz w:val="20"/>
                <w:lang w:eastAsia="en-US"/>
              </w:rPr>
              <w:t>не-коммерческая</w:t>
            </w:r>
            <w:proofErr w:type="gramEnd"/>
            <w:r w:rsidRPr="00510204">
              <w:rPr>
                <w:sz w:val="20"/>
                <w:lang w:eastAsia="en-US"/>
              </w:rPr>
              <w:t xml:space="preserve">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 xml:space="preserve">Необходимо заполнение блока только в случае если количество заявок с предложениями в блоке applications (указан элемент </w:t>
            </w:r>
            <w:r w:rsidRPr="005D17D4">
              <w:rPr>
                <w:sz w:val="20"/>
                <w:lang w:eastAsia="en-US"/>
              </w:rPr>
              <w:lastRenderedPageBreak/>
              <w:t>applications\application\admittedInfo\admitted) меньше либо равно 1.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lastRenderedPageBreak/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 xml:space="preserve">При приеме содержимое контролируется на присутствие в справочнике "Справочник причин отказа в допуске" (nsiPurchaseRejectReason). Для записи должен быть элемент </w:t>
            </w:r>
            <w:r w:rsidRPr="0066710D">
              <w:rPr>
                <w:sz w:val="20"/>
                <w:lang w:eastAsia="en-US"/>
              </w:rPr>
              <w:lastRenderedPageBreak/>
              <w:t>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Электронный документ, </w:t>
            </w:r>
            <w:r w:rsidRPr="00301389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 xml:space="preserve">При приеме контролируется, что порядковые номера заявок в </w:t>
            </w:r>
            <w:r w:rsidRPr="00BE7EAA">
              <w:rPr>
                <w:sz w:val="20"/>
                <w:lang w:eastAsia="en-US"/>
              </w:rPr>
              <w:lastRenderedPageBreak/>
              <w:t>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lastRenderedPageBreak/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NS - Во время проведения аукциона ни один из его участников не подал 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предварительного отбора в ПО по </w:t>
            </w:r>
            <w:r w:rsidR="003D5136">
              <w:rPr>
                <w:sz w:val="20"/>
              </w:rPr>
              <w:lastRenderedPageBreak/>
              <w:t>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B95B47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</w:t>
            </w:r>
            <w:r w:rsidRPr="00372FF7">
              <w:rPr>
                <w:sz w:val="20"/>
              </w:rPr>
              <w:lastRenderedPageBreak/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 xml:space="preserve">Индивидуальный </w:t>
            </w:r>
            <w:r w:rsidRPr="00372FF7">
              <w:rPr>
                <w:sz w:val="20"/>
                <w:lang w:eastAsia="en-US"/>
              </w:rPr>
              <w:lastRenderedPageBreak/>
              <w:t>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lastRenderedPageBreak/>
              <w:t xml:space="preserve">При приёме проверяется наличие </w:t>
            </w:r>
            <w:r w:rsidRPr="009749EC">
              <w:rPr>
                <w:sz w:val="20"/>
                <w:lang w:eastAsia="en-US"/>
              </w:rPr>
              <w:lastRenderedPageBreak/>
              <w:t>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lastRenderedPageBreak/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 xml:space="preserve">Игнорируется при приеме, автоматически заполняется при передаче по номеру реестровой записи РПО из реестра </w:t>
            </w:r>
            <w:r w:rsidRPr="001326EA">
              <w:rPr>
                <w:sz w:val="20"/>
              </w:rPr>
              <w:lastRenderedPageBreak/>
              <w:t>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Адрес места нахождения на </w:t>
            </w:r>
            <w:r w:rsidRPr="001326EA">
              <w:rPr>
                <w:sz w:val="20"/>
                <w:lang w:eastAsia="en-US"/>
              </w:rPr>
              <w:lastRenderedPageBreak/>
              <w:t>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lastRenderedPageBreak/>
              <w:t xml:space="preserve">В случае если не заполнено при </w:t>
            </w:r>
            <w:r w:rsidRPr="001326EA">
              <w:rPr>
                <w:sz w:val="20"/>
                <w:lang w:eastAsia="en-US"/>
              </w:rPr>
              <w:lastRenderedPageBreak/>
              <w:t>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</w:t>
            </w:r>
            <w:r w:rsidR="003D5136">
              <w:rPr>
                <w:sz w:val="20"/>
              </w:rPr>
              <w:lastRenderedPageBreak/>
              <w:t>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</w:t>
            </w:r>
            <w:r w:rsidRPr="00F25643">
              <w:rPr>
                <w:sz w:val="20"/>
                <w:lang w:eastAsia="en-US"/>
              </w:rPr>
              <w:lastRenderedPageBreak/>
              <w:t xml:space="preserve">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>ется автоматически 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B95B47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 xml:space="preserve">Сведения о подрядной </w:t>
            </w:r>
            <w:r w:rsidRPr="00F34091">
              <w:rPr>
                <w:sz w:val="20"/>
                <w:lang w:eastAsia="en-US"/>
              </w:rPr>
              <w:lastRenderedPageBreak/>
              <w:t>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lastRenderedPageBreak/>
              <w:t xml:space="preserve">Игнорируется при приёме, </w:t>
            </w:r>
            <w:r w:rsidRPr="00584F79">
              <w:rPr>
                <w:sz w:val="20"/>
                <w:lang w:eastAsia="en-US"/>
              </w:rPr>
              <w:lastRenderedPageBreak/>
              <w:t>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>), если в протоколе-основании присутствуют сведения о подрядной организации. Заполняется при 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 xml:space="preserve">Состав блока аналогичен составу одноимённого блока для </w:t>
            </w:r>
            <w:r>
              <w:rPr>
                <w:sz w:val="20"/>
              </w:rPr>
              <w:lastRenderedPageBreak/>
              <w:t>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lastRenderedPageBreak/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 xml:space="preserve">Информация о банковской гарантии, выданной банком, не будет размещена на официальном сайте ЕИС в соответствии с ч. 8.1 </w:t>
            </w:r>
            <w:r w:rsidRPr="00CD5C13">
              <w:rPr>
                <w:sz w:val="20"/>
                <w:lang w:eastAsia="en-US"/>
              </w:rPr>
              <w:lastRenderedPageBreak/>
              <w:t>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Может быть указан только либо блок </w:t>
            </w:r>
            <w:proofErr w:type="gramStart"/>
            <w:r w:rsidRPr="00E251C6">
              <w:rPr>
                <w:sz w:val="20"/>
              </w:rPr>
              <w:t>bankGuaranteeInfo</w:t>
            </w:r>
            <w:proofErr w:type="gramEnd"/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lastRenderedPageBreak/>
              <w:t>Игнорируется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lastRenderedPageBreak/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 xml:space="preserve">Документы, являющиеся </w:t>
            </w:r>
            <w:r w:rsidRPr="001A4738">
              <w:rPr>
                <w:sz w:val="20"/>
              </w:rPr>
              <w:lastRenderedPageBreak/>
              <w:t>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lastRenderedPageBreak/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EC43A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65C3C" w:rsidRPr="00065C3C" w:rsidRDefault="00065C3C" w:rsidP="00065C3C">
            <w:pPr>
              <w:spacing w:before="0" w:after="0"/>
              <w:contextualSpacing/>
              <w:rPr>
                <w:sz w:val="20"/>
              </w:rPr>
            </w:pPr>
            <w:r w:rsidRPr="00065C3C">
              <w:rPr>
                <w:sz w:val="20"/>
              </w:rPr>
              <w:t>Первичным ключом при приеме как первоначальной версии, так и изменений, является сочетание полей:</w:t>
            </w:r>
          </w:p>
          <w:p w:rsidR="008B49BD" w:rsidRPr="004F3899" w:rsidRDefault="00065C3C" w:rsidP="00065C3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F3899">
              <w:rPr>
                <w:sz w:val="20"/>
                <w:lang w:val="en-US"/>
              </w:rPr>
              <w:t>"</w:t>
            </w:r>
            <w:r w:rsidRPr="00065C3C">
              <w:rPr>
                <w:sz w:val="20"/>
              </w:rPr>
              <w:t>Номер</w:t>
            </w:r>
            <w:r w:rsidRPr="004F3899">
              <w:rPr>
                <w:sz w:val="20"/>
                <w:lang w:val="en-US"/>
              </w:rPr>
              <w:t xml:space="preserve"> </w:t>
            </w:r>
            <w:r w:rsidRPr="00065C3C">
              <w:rPr>
                <w:sz w:val="20"/>
              </w:rPr>
              <w:t>договора</w:t>
            </w:r>
            <w:r w:rsidRPr="004F3899">
              <w:rPr>
                <w:sz w:val="20"/>
                <w:lang w:val="en-US"/>
              </w:rPr>
              <w:t>" (commonInfo\regNum) + procedure\executions\stage\startDate + procedure\executions\stage\endDate + procedure\executions\ordinalNumber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4F389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65C3C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C3C" w:rsidRPr="00B9482F" w:rsidRDefault="00065C3C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Pr="00AD1631" w:rsidRDefault="00065C3C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ordinalNumber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Default="00065C3C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Default="00065C3C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Pr="00AD1631" w:rsidRDefault="00065C3C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исполнения в рамках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65C3C" w:rsidRPr="00065C3C" w:rsidRDefault="00065C3C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При приеме как первоначальной версии, так и изменений контролируется обязательность заполнения.</w:t>
            </w:r>
          </w:p>
          <w:p w:rsidR="00065C3C" w:rsidRPr="00301389" w:rsidRDefault="00065C3C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Нумерация начинается с 1 и осуществляется последовательным прибавлением единицы к первоначальному значению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lastRenderedPageBreak/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документа «Извещение о проведении ПО </w:t>
            </w:r>
            <w:r>
              <w:rPr>
                <w:sz w:val="20"/>
              </w:rPr>
              <w:lastRenderedPageBreak/>
              <w:t>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2074D6">
              <w:rPr>
                <w:sz w:val="20"/>
              </w:rPr>
              <w:lastRenderedPageBreak/>
              <w:t>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Реквизиты документа, </w:t>
            </w:r>
            <w:r w:rsidRPr="00A54D8A">
              <w:rPr>
                <w:sz w:val="20"/>
                <w:lang w:eastAsia="en-US"/>
              </w:rPr>
              <w:lastRenderedPageBreak/>
              <w:t>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ONE_WINNER_DEVIATION - уклонение единственного </w:t>
            </w:r>
            <w:r w:rsidRPr="000521E4">
              <w:rPr>
                <w:sz w:val="20"/>
                <w:lang w:eastAsia="en-US"/>
              </w:rPr>
              <w:lastRenderedPageBreak/>
              <w:t>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</w:t>
            </w:r>
            <w:r w:rsidRPr="00367B86">
              <w:rPr>
                <w:sz w:val="20"/>
              </w:rPr>
              <w:lastRenderedPageBreak/>
              <w:t>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Элемент игнорируется при приёме. При передаче заполняется ссылкой на печатную </w:t>
            </w:r>
            <w:r w:rsidRPr="00301389">
              <w:rPr>
                <w:sz w:val="20"/>
              </w:rPr>
              <w:lastRenderedPageBreak/>
              <w:t>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lastRenderedPageBreak/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 xml:space="preserve">, </w:t>
            </w:r>
            <w:r w:rsidR="0047498A">
              <w:rPr>
                <w:sz w:val="20"/>
              </w:rPr>
              <w:lastRenderedPageBreak/>
              <w:t>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>10.2, 10.2.310, 10.3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 xml:space="preserve">При приеме контролируется, что подрядная организация, указанная в блоке, совпадает по коду по СПЗ (коду СвР) с </w:t>
            </w:r>
            <w:r w:rsidRPr="004173D2">
              <w:rPr>
                <w:sz w:val="20"/>
              </w:rPr>
              <w:lastRenderedPageBreak/>
              <w:t>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proofErr w:type="gramStart"/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proofErr w:type="gramEnd"/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t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проведения электронного аукциона (protocolEF2)</w:t>
            </w:r>
          </w:p>
        </w:tc>
      </w:tr>
      <w:tr w:rsidR="004C77BA" w:rsidRPr="00A43495" w:rsidTr="00A4349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4C77BA" w:rsidRPr="002F6974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375F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65C3C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004B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498A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4F3899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4A45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7F7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6877"/>
    <w:rsid w:val="008B7486"/>
    <w:rsid w:val="008B7C8A"/>
    <w:rsid w:val="008C0139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4AF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47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694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43A9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407C5A0-70E1-4F43-AA48-A17E2250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7905</TotalTime>
  <Pages>68</Pages>
  <Words>20282</Words>
  <Characters>115608</Characters>
  <Application>Microsoft Office Word</Application>
  <DocSecurity>0</DocSecurity>
  <Lines>963</Lines>
  <Paragraphs>271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147</cp:revision>
  <dcterms:created xsi:type="dcterms:W3CDTF">2017-11-16T14:32:00Z</dcterms:created>
  <dcterms:modified xsi:type="dcterms:W3CDTF">2020-09-02T12:50:00Z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