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3FA0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C00176" w:rsidRPr="00C82F86">
        <w:rPr>
          <w:sz w:val="28"/>
        </w:rPr>
        <w:t>1</w:t>
      </w:r>
      <w:r w:rsidR="007353C6">
        <w:rPr>
          <w:sz w:val="28"/>
        </w:rPr>
        <w:t>1</w:t>
      </w:r>
      <w:r w:rsidR="00E97AA5" w:rsidRPr="00E97AA5">
        <w:rPr>
          <w:sz w:val="28"/>
        </w:rPr>
        <w:t>.</w:t>
      </w:r>
      <w:r w:rsidR="007353C6">
        <w:rPr>
          <w:sz w:val="28"/>
        </w:rPr>
        <w:t>0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>, РЕЕСТРА РЕЗУЛЬТАТОВ АУДИТА</w:t>
      </w:r>
      <w:r w:rsidR="00DC418D">
        <w:rPr>
          <w:b/>
          <w:sz w:val="28"/>
        </w:rPr>
        <w:t>,  РЕЕСТРА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8139C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8139C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8139C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8139C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8139C6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 xml:space="preserve">Игнорируется при приеме. Автоматически определяется из данных организации </w:t>
            </w:r>
            <w:r w:rsidRPr="00300B65">
              <w:rPr>
                <w:sz w:val="20"/>
              </w:rPr>
              <w:lastRenderedPageBreak/>
              <w:t>пользователя</w:t>
            </w:r>
          </w:p>
          <w:p w:rsidR="00300B65" w:rsidRPr="00921E33" w:rsidRDefault="00300B65" w:rsidP="008139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</w:t>
            </w:r>
            <w:r w:rsidRPr="006F350D">
              <w:rPr>
                <w:sz w:val="20"/>
              </w:rPr>
              <w:lastRenderedPageBreak/>
              <w:t xml:space="preserve">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Ссылка для скачивания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 xml:space="preserve">Адрес местонахождения </w:t>
            </w:r>
            <w:r w:rsidRPr="00676858">
              <w:rPr>
                <w:sz w:val="20"/>
              </w:rPr>
              <w:lastRenderedPageBreak/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lastRenderedPageBreak/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lastRenderedPageBreak/>
              <w:t>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\d{13}|\d{15}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lastRenderedPageBreak/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lastRenderedPageBreak/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Не используется, добавлено на 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</w:t>
            </w:r>
            <w:r w:rsidRPr="00287D63">
              <w:rPr>
                <w:sz w:val="20"/>
              </w:rPr>
              <w:lastRenderedPageBreak/>
              <w:t>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Место предоставления ценовой </w:t>
            </w:r>
            <w:r w:rsidRPr="002C3ACF">
              <w:rPr>
                <w:sz w:val="20"/>
              </w:rPr>
              <w:lastRenderedPageBreak/>
              <w:t>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Электронный документ, полученный из внешней </w:t>
            </w:r>
            <w:r>
              <w:rPr>
                <w:sz w:val="20"/>
                <w:lang w:eastAsia="en-US"/>
              </w:rPr>
              <w:lastRenderedPageBreak/>
              <w:t>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OAI- Уполномоченное </w:t>
            </w:r>
            <w:r w:rsidRPr="00BE3A70">
              <w:rPr>
                <w:sz w:val="20"/>
              </w:rPr>
              <w:lastRenderedPageBreak/>
              <w:t>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lastRenderedPageBreak/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</w:t>
            </w:r>
            <w:r>
              <w:rPr>
                <w:sz w:val="20"/>
                <w:lang w:eastAsia="en-US"/>
              </w:rPr>
              <w:lastRenderedPageBreak/>
              <w:t>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Заполняется в случае, если на стороне внешней системы </w:t>
            </w:r>
            <w:r>
              <w:rPr>
                <w:sz w:val="20"/>
                <w:lang w:eastAsia="en-US"/>
              </w:rPr>
              <w:lastRenderedPageBreak/>
              <w:t>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только </w:t>
            </w:r>
            <w:r>
              <w:rPr>
                <w:sz w:val="20"/>
                <w:lang w:eastAsia="en-US"/>
              </w:rPr>
              <w:lastRenderedPageBreak/>
              <w:t>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lastRenderedPageBreak/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 xml:space="preserve">При приеме контролируется наличие в сведениях о контракте предмета контракта с таким externalSid. При этом  предметы </w:t>
            </w:r>
            <w:r w:rsidRPr="007C75B7">
              <w:rPr>
                <w:sz w:val="20"/>
                <w:lang w:eastAsia="en-US"/>
              </w:rPr>
              <w:lastRenderedPageBreak/>
              <w:t>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 xml:space="preserve">Причина отклонения или </w:t>
            </w:r>
            <w:r w:rsidRPr="00D563C0">
              <w:rPr>
                <w:sz w:val="20"/>
                <w:lang w:eastAsia="en-US"/>
              </w:rPr>
              <w:lastRenderedPageBreak/>
              <w:t>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 w:rsidRPr="00E44D16">
              <w:rPr>
                <w:sz w:val="20"/>
              </w:rPr>
              <w:lastRenderedPageBreak/>
              <w:t>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</w:t>
            </w:r>
            <w:r w:rsidRPr="00BE3A70">
              <w:rPr>
                <w:sz w:val="20"/>
              </w:rPr>
              <w:lastRenderedPageBreak/>
              <w:t>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>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lastRenderedPageBreak/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 xml:space="preserve">103 Федерального закона № </w:t>
            </w:r>
            <w:r>
              <w:rPr>
                <w:sz w:val="20"/>
                <w:lang w:eastAsia="en-US"/>
              </w:rPr>
              <w:lastRenderedPageBreak/>
              <w:t>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 xml:space="preserve">Не может быть заполнен  при приеме, заполняется при передаче, в случае если информация не должна быть </w:t>
            </w:r>
            <w:r w:rsidRPr="00360348">
              <w:rPr>
                <w:sz w:val="20"/>
                <w:lang w:eastAsia="en-US"/>
              </w:rPr>
              <w:lastRenderedPageBreak/>
              <w:t>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C2E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C2E70">
              <w:rPr>
                <w:sz w:val="20"/>
                <w:lang w:eastAsia="en-US"/>
              </w:rPr>
              <w:t xml:space="preserve">1.2.3. Объем финансового обеспечения для оплаты в отчетном году контрактов, заключаемых с единственным поставщиком (подрядчиком, исполнителем) в соответствии с частью 1 статьи 93  Федерального закона (за исключением закупок, которые </w:t>
            </w:r>
            <w:r w:rsidRPr="00EC2E70">
              <w:rPr>
                <w:sz w:val="20"/>
                <w:lang w:eastAsia="en-US"/>
              </w:rPr>
              <w:lastRenderedPageBreak/>
              <w:t>осуществлены в соответствии с пунктом 25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закона), за исключением объема финансового обеспечения для оплаты в отчетном году контрактов, содержащих сведения, составляющие государственную тайну 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1.4. Объем закупок, который заказчик обязан осуществить у СМП, СОНО в отчетном году (не менее чем 15 процентов совокупного годового объема 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Допустимые значения: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 xml:space="preserve">-CON - Контракты, содержащие условие о привлечении к исполнению контрактов субподрядчиков, соисполнителей из числа субъектов малого </w:t>
            </w:r>
            <w:r w:rsidRPr="000969F4">
              <w:rPr>
                <w:sz w:val="20"/>
                <w:lang w:eastAsia="en-US"/>
              </w:rPr>
              <w:lastRenderedPageBreak/>
              <w:t>предпринимательства, социально ориентированных некоммерческих организаций;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закона, за исключением контрактов, которые заключены в соответствии с пунктами 25 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0969F4" w:rsidRPr="000969F4" w:rsidRDefault="000969F4" w:rsidP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исполнителей);</w:t>
            </w:r>
          </w:p>
          <w:p w:rsidR="00A9651D" w:rsidRDefault="000969F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69F4">
              <w:rPr>
                <w:sz w:val="20"/>
                <w:lang w:eastAsia="en-US"/>
              </w:rPr>
              <w:t>SGLF - rонтракты, которые заключены в соответствии с пунктами 25 части 1 статьи 93 Федерального закона по результатам несостоявшегося определения поставщиков (подрядчиков, исполнителей), проведенного в соответствии с требованиями пункта 1 части 1 статьи 30 Федерального закона.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</w:t>
            </w:r>
            <w:r>
              <w:rPr>
                <w:sz w:val="20"/>
              </w:rPr>
              <w:t>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 xml:space="preserve">, </w:t>
            </w:r>
            <w:r w:rsidR="00110F87">
              <w:rPr>
                <w:sz w:val="20"/>
              </w:rPr>
              <w:lastRenderedPageBreak/>
              <w:t>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</w:t>
            </w:r>
            <w:r w:rsidRPr="00BE3A70">
              <w:rPr>
                <w:sz w:val="20"/>
              </w:rPr>
              <w:lastRenderedPageBreak/>
              <w:t>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электронного </w:t>
            </w:r>
            <w:r>
              <w:rPr>
                <w:sz w:val="20"/>
                <w:lang w:eastAsia="en-US"/>
              </w:rPr>
              <w:lastRenderedPageBreak/>
              <w:t>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lastRenderedPageBreak/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>
              <w:rPr>
                <w:sz w:val="20"/>
              </w:rPr>
              <w:lastRenderedPageBreak/>
              <w:t>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Сведения о ходе реализации инвестиционного проекта (нарастающим итогом в течение </w:t>
            </w:r>
            <w:r>
              <w:rPr>
                <w:sz w:val="20"/>
                <w:lang w:eastAsia="en-US"/>
              </w:rPr>
              <w:lastRenderedPageBreak/>
              <w:t>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CS - Заказчик, осуществляющий закупки в соответствии с частью 5 </w:t>
            </w:r>
            <w:r w:rsidRPr="00BE3A70">
              <w:rPr>
                <w:sz w:val="20"/>
              </w:rPr>
              <w:lastRenderedPageBreak/>
              <w:t>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указание только </w:t>
            </w:r>
            <w:r>
              <w:rPr>
                <w:sz w:val="20"/>
                <w:lang w:eastAsia="en-US"/>
              </w:rPr>
              <w:lastRenderedPageBreak/>
              <w:t>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 xml:space="preserve">Поле заполняется при передаче документов из ЕИС во внешние </w:t>
            </w:r>
            <w:r w:rsidRPr="00287D63">
              <w:rPr>
                <w:sz w:val="20"/>
                <w:lang w:eastAsia="en-US"/>
              </w:rPr>
              <w:lastRenderedPageBreak/>
              <w:t>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ОРГН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 \d{13}|\d{15}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в качестве организатора </w:t>
            </w:r>
            <w:r w:rsidRPr="00BE3A70">
              <w:rPr>
                <w:sz w:val="20"/>
              </w:rPr>
              <w:lastRenderedPageBreak/>
              <w:t>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Положительное заключение </w:t>
            </w:r>
            <w:r>
              <w:rPr>
                <w:sz w:val="20"/>
                <w:lang w:eastAsia="en-US"/>
              </w:rPr>
              <w:lastRenderedPageBreak/>
              <w:t>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</w:t>
            </w:r>
            <w:r w:rsidRPr="00287D63">
              <w:rPr>
                <w:sz w:val="20"/>
              </w:rPr>
              <w:lastRenderedPageBreak/>
              <w:t>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внешних </w:t>
            </w:r>
            <w:r w:rsidRPr="00287D63">
              <w:rPr>
                <w:sz w:val="20"/>
              </w:rPr>
              <w:lastRenderedPageBreak/>
              <w:t>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Экономия по результатам проведения конкурсных процедур по заключению государственного контракта (договора) на реализацию инвестиционного проекта, в </w:t>
            </w:r>
            <w:r>
              <w:rPr>
                <w:sz w:val="20"/>
                <w:lang w:eastAsia="en-US"/>
              </w:rPr>
              <w:lastRenderedPageBreak/>
              <w:t>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Собственные средства </w:t>
            </w:r>
            <w:r>
              <w:rPr>
                <w:sz w:val="20"/>
                <w:lang w:eastAsia="en-US"/>
              </w:rPr>
              <w:lastRenderedPageBreak/>
              <w:t>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 победителя, с </w:t>
            </w:r>
            <w:r>
              <w:rPr>
                <w:sz w:val="20"/>
                <w:lang w:eastAsia="en-US"/>
              </w:rPr>
              <w:lastRenderedPageBreak/>
              <w:t>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выплаченного фонда 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\d+(\.\d{1,2})?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\d{13}|\d{15}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8139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8139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8139C6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8139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8139C6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Муниципальные образования, для 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\d{13}|\d{15}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3"/>
        <w:gridCol w:w="1709"/>
        <w:gridCol w:w="418"/>
        <w:gridCol w:w="6"/>
        <w:gridCol w:w="6"/>
        <w:gridCol w:w="985"/>
        <w:gridCol w:w="21"/>
        <w:gridCol w:w="2924"/>
        <w:gridCol w:w="32"/>
        <w:gridCol w:w="2837"/>
        <w:gridCol w:w="15"/>
        <w:gridCol w:w="36"/>
      </w:tblGrid>
      <w:tr w:rsidR="008F5A00" w:rsidTr="00595DC2">
        <w:trPr>
          <w:gridAfter w:val="1"/>
          <w:wAfter w:w="17" w:type="pct"/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595DC2">
        <w:trPr>
          <w:gridAfter w:val="1"/>
          <w:wAfter w:w="17" w:type="pct"/>
        </w:trPr>
        <w:tc>
          <w:tcPr>
            <w:tcW w:w="498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8F5A00" w:rsidTr="00595DC2">
        <w:trPr>
          <w:gridAfter w:val="1"/>
          <w:wAfter w:w="17" w:type="pct"/>
          <w:trHeight w:val="504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595DC2">
        <w:trPr>
          <w:gridAfter w:val="1"/>
          <w:wAfter w:w="17" w:type="pct"/>
        </w:trPr>
        <w:tc>
          <w:tcPr>
            <w:tcW w:w="4983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unplannedCheckСomplaint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622E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595DC2">
        <w:trPr>
          <w:gridAfter w:val="1"/>
          <w:wAfter w:w="17" w:type="pct"/>
        </w:trPr>
        <w:tc>
          <w:tcPr>
            <w:tcW w:w="73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4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8139C6" w:rsidRPr="00AD07D0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AD07D0" w:rsidRDefault="008139C6" w:rsidP="008139C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80327F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A057CF" w:rsidRDefault="008139C6" w:rsidP="008139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A057CF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8139C6" w:rsidRPr="00A057CF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CA588D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8139C6" w:rsidRPr="001F6FCA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:rsidR="008139C6" w:rsidRPr="0038552A" w:rsidRDefault="008139C6" w:rsidP="008139C6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3746F3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:rsidR="008139C6" w:rsidRDefault="008139C6" w:rsidP="003746F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3746F3" w:rsidRPr="00E87917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F623E0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19617A" w:rsidRDefault="008139C6" w:rsidP="008139C6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8139C6" w:rsidRPr="00A166B9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742E5E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:rsidR="008139C6" w:rsidRPr="00E87917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87917" w:rsidRDefault="00683C30" w:rsidP="008139C6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3746F3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8139C6" w:rsidRPr="00E87917" w:rsidRDefault="00683C30" w:rsidP="003746F3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8139C6" w:rsidRPr="00742E5E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:rsidR="008139C6" w:rsidRPr="00E87917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F623E0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8139C6" w:rsidRPr="00E87917" w:rsidRDefault="003746F3" w:rsidP="008139C6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3746F3" w:rsidRDefault="003746F3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8139C6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4A6C58" w:rsidRDefault="004A6C58" w:rsidP="003746F3">
            <w:pPr>
              <w:spacing w:before="0" w:after="0"/>
              <w:rPr>
                <w:sz w:val="20"/>
              </w:rPr>
            </w:pPr>
          </w:p>
          <w:p w:rsidR="004A6C58" w:rsidRPr="004A6C58" w:rsidRDefault="004A6C58" w:rsidP="003746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8139C6" w:rsidRPr="00E67E4D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Pr="00104B12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CB2A10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</w:p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43" w:type="pct"/>
            <w:shd w:val="clear" w:color="auto" w:fill="auto"/>
          </w:tcPr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8139C6" w:rsidRPr="00301732" w:rsidRDefault="008139C6" w:rsidP="008139C6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8139C6" w:rsidRPr="002A308C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FE40DA" w:rsidRDefault="008139C6" w:rsidP="008139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2A308C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2A308C" w:rsidRDefault="003746F3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:rsidR="008139C6" w:rsidRPr="00CB2A10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139C6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139C6" w:rsidRDefault="008139C6" w:rsidP="008139C6">
            <w:pPr>
              <w:spacing w:before="0" w:after="0"/>
              <w:rPr>
                <w:sz w:val="20"/>
              </w:rPr>
            </w:pP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</w:p>
          <w:p w:rsidR="008139C6" w:rsidRPr="002A308C" w:rsidRDefault="008139C6" w:rsidP="008139C6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746F3" w:rsidRPr="002A308C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3746F3" w:rsidRPr="003746F3" w:rsidRDefault="003746F3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3746F3" w:rsidRDefault="003746F3" w:rsidP="008F5A31">
            <w:pPr>
              <w:spacing w:before="0" w:after="0"/>
              <w:rPr>
                <w:sz w:val="20"/>
                <w:lang w:val="en-US"/>
              </w:rPr>
            </w:pPr>
            <w:r w:rsidRPr="003746F3">
              <w:rPr>
                <w:sz w:val="20"/>
                <w:lang w:val="en-US"/>
              </w:rPr>
              <w:t>inspectionType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3746F3" w:rsidRPr="002A308C" w:rsidRDefault="003746F3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3746F3" w:rsidRPr="002A308C" w:rsidRDefault="003746F3" w:rsidP="008F5A3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3746F3" w:rsidRPr="00CB2A10" w:rsidRDefault="003746F3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Вид внеплановой проверки</w:t>
            </w:r>
          </w:p>
        </w:tc>
        <w:tc>
          <w:tcPr>
            <w:tcW w:w="1343" w:type="pct"/>
            <w:shd w:val="clear" w:color="auto" w:fill="auto"/>
          </w:tcPr>
          <w:p w:rsid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Доступные значения:</w:t>
            </w: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V-Выездная проверка</w:t>
            </w: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K-Камеральная проверка</w:t>
            </w:r>
          </w:p>
          <w:p w:rsidR="003746F3" w:rsidRPr="003746F3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VV–Встречная проверка в рамках выездной проверки</w:t>
            </w:r>
          </w:p>
          <w:p w:rsidR="003746F3" w:rsidRPr="002A308C" w:rsidRDefault="003746F3" w:rsidP="003746F3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VK–Встречная проверка в рамках камеральной проверки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8139C6" w:rsidRPr="003750EA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</w:t>
            </w:r>
            <w:r w:rsidR="003750EA">
              <w:rPr>
                <w:b/>
                <w:sz w:val="20"/>
                <w:lang w:val="en-US"/>
              </w:rPr>
              <w:t>/</w:t>
            </w:r>
            <w:r w:rsidR="003750EA">
              <w:rPr>
                <w:b/>
                <w:sz w:val="20"/>
              </w:rPr>
              <w:t>Представление</w:t>
            </w:r>
          </w:p>
        </w:tc>
      </w:tr>
      <w:tr w:rsidR="008139C6" w:rsidRPr="003750EA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3750EA" w:rsidRDefault="003750EA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  <w:lang w:val="en-US"/>
              </w:rPr>
              <w:t>actP</w:t>
            </w:r>
            <w:r w:rsidRPr="003750EA">
              <w:rPr>
                <w:b/>
                <w:sz w:val="20"/>
              </w:rPr>
              <w:t>rescription</w:t>
            </w:r>
          </w:p>
        </w:tc>
        <w:tc>
          <w:tcPr>
            <w:tcW w:w="809" w:type="pct"/>
            <w:shd w:val="clear" w:color="auto" w:fill="auto"/>
          </w:tcPr>
          <w:p w:rsidR="008139C6" w:rsidRPr="003750EA" w:rsidRDefault="008139C6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3750EA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3750EA" w:rsidRDefault="008139C6" w:rsidP="008139C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3750EA" w:rsidRDefault="008139C6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139C6" w:rsidRPr="003750EA" w:rsidRDefault="008139C6" w:rsidP="008139C6">
            <w:pPr>
              <w:spacing w:before="0" w:after="0"/>
              <w:rPr>
                <w:b/>
                <w:sz w:val="20"/>
              </w:rPr>
            </w:pPr>
            <w:r w:rsidRPr="003750EA">
              <w:rPr>
                <w:b/>
                <w:sz w:val="20"/>
              </w:rPr>
              <w:t xml:space="preserve">  </w:t>
            </w:r>
          </w:p>
        </w:tc>
      </w:tr>
      <w:tr w:rsidR="003750EA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3750EA" w:rsidRPr="00E232BB" w:rsidRDefault="003750EA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3750EA" w:rsidRPr="003750EA" w:rsidRDefault="003750EA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3750EA" w:rsidRPr="003750EA" w:rsidRDefault="003750EA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3750EA" w:rsidRPr="00104B12" w:rsidRDefault="003750EA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3750EA" w:rsidRPr="00E232BB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 xml:space="preserve">Тип документа, выданного в результате проведения контрольного мероприятия. </w:t>
            </w:r>
          </w:p>
        </w:tc>
        <w:tc>
          <w:tcPr>
            <w:tcW w:w="1343" w:type="pct"/>
            <w:shd w:val="clear" w:color="auto" w:fill="auto"/>
          </w:tcPr>
          <w:p w:rsid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Контролируется обязательность заполнения.</w:t>
            </w:r>
          </w:p>
          <w:p w:rsid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 xml:space="preserve">Игнорируется всегда для данных, размещенных до выхода версии 11.0. </w:t>
            </w:r>
          </w:p>
          <w:p w:rsidR="003750EA" w:rsidRP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Возможные значения:</w:t>
            </w:r>
          </w:p>
          <w:p w:rsidR="003750EA" w:rsidRPr="003750EA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prescription – Предписание;</w:t>
            </w:r>
          </w:p>
          <w:p w:rsidR="003750EA" w:rsidRPr="00E232BB" w:rsidRDefault="003750EA" w:rsidP="003750EA">
            <w:pPr>
              <w:spacing w:before="0" w:after="0"/>
              <w:rPr>
                <w:sz w:val="20"/>
              </w:rPr>
            </w:pPr>
            <w:r w:rsidRPr="003750EA">
              <w:rPr>
                <w:sz w:val="20"/>
              </w:rPr>
              <w:t>submission – Представление.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104B12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:rsidR="008139C6" w:rsidRPr="002F45C8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8139C6" w:rsidRPr="00AF1C6C" w:rsidRDefault="008139C6" w:rsidP="008139C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8139C6" w:rsidRPr="002F45C8" w:rsidRDefault="008139C6" w:rsidP="008139C6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139C6" w:rsidRPr="00E87917" w:rsidRDefault="008139C6" w:rsidP="008139C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91F26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139C6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8139C6" w:rsidRPr="00191F26" w:rsidRDefault="008139C6" w:rsidP="008139C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8139C6" w:rsidRPr="00726DBB" w:rsidRDefault="008139C6" w:rsidP="008139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8139C6" w:rsidRPr="00E232BB" w:rsidRDefault="008139C6" w:rsidP="008139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8139C6" w:rsidRPr="00D05B78" w:rsidRDefault="008139C6" w:rsidP="008139C6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43" w:type="pct"/>
            <w:shd w:val="clear" w:color="auto" w:fill="auto"/>
          </w:tcPr>
          <w:p w:rsidR="008139C6" w:rsidRPr="00E232BB" w:rsidRDefault="00515B86" w:rsidP="008139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4A6C58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4A6C58" w:rsidRPr="003750EA" w:rsidRDefault="004A6C58" w:rsidP="008F5A31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Плановая проверка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809" w:type="pct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4A6C58" w:rsidRPr="006F7ABA" w:rsidRDefault="004A6C58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6F7ABA" w:rsidRDefault="004A6C58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6F7ABA" w:rsidRDefault="004A6C58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:rsidR="004A6C58" w:rsidRPr="0080327F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A057CF" w:rsidRDefault="004A6C58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4A6C58" w:rsidRPr="00A057CF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4A6C58" w:rsidRPr="00A057CF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CA588D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4A6C58" w:rsidRPr="0038552A" w:rsidRDefault="004A6C58" w:rsidP="005B2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F623E0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87917" w:rsidRDefault="004A6C58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8F5A31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4A6C58" w:rsidRPr="00E87917" w:rsidRDefault="004A6C58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04B12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:rsidR="004A6C58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451D0A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4A6C58" w:rsidRPr="001A4780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E232BB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38552A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4A6C58" w:rsidRPr="001A4780" w:rsidTr="00595DC2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4A6C58" w:rsidRPr="00F623E0" w:rsidRDefault="004A6C58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104B12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19617A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E87917" w:rsidRDefault="004A6C58" w:rsidP="008F5A3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4A6C58" w:rsidRPr="001A4780" w:rsidTr="00595DC2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F623E0" w:rsidRDefault="004A6C58" w:rsidP="008F5A31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Pr="00A310E5" w:rsidRDefault="004A6C58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A310E5" w:rsidRDefault="004A6C58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A310E5" w:rsidRDefault="005B2AA1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4A6C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A6C58" w:rsidRDefault="004A6C58" w:rsidP="004A6C58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B2AA1" w:rsidRDefault="005B2AA1" w:rsidP="004A6C58">
            <w:pPr>
              <w:spacing w:before="0" w:after="0"/>
              <w:ind w:firstLine="51"/>
              <w:rPr>
                <w:sz w:val="20"/>
              </w:rPr>
            </w:pPr>
          </w:p>
          <w:p w:rsidR="005B2AA1" w:rsidRPr="00E87917" w:rsidRDefault="00B704E6" w:rsidP="005B2AA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4A6C58" w:rsidRPr="001A4780" w:rsidTr="00595DC2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4A6C58" w:rsidRPr="0019617A" w:rsidRDefault="004A6C58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Default="004A6C58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</w:tr>
      <w:tr w:rsidR="004A6C58" w:rsidRPr="001A4780" w:rsidTr="00595DC2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4A6C58" w:rsidRPr="00E87917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9617A" w:rsidDel="007151B3" w:rsidRDefault="004A6C58" w:rsidP="008F5A31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A6C58" w:rsidDel="007151B3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4A6C58" w:rsidRPr="00104B12" w:rsidDel="007151B3" w:rsidRDefault="004A6C58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Del="007151B3" w:rsidRDefault="005B2AA1" w:rsidP="005B2AA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4A6C58" w:rsidRDefault="004A6C58" w:rsidP="004A6C5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A6C58" w:rsidRDefault="004A6C58" w:rsidP="004A6C58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B2AA1" w:rsidRPr="00E87917" w:rsidRDefault="00B704E6" w:rsidP="005B2AA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C815DB" w:rsidRPr="005B2AA1" w:rsidTr="00595DC2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C815DB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5B2AA1" w:rsidRDefault="00C815DB" w:rsidP="00C815DB">
            <w:pPr>
              <w:spacing w:before="0" w:after="0"/>
              <w:rPr>
                <w:sz w:val="20"/>
                <w:lang w:val="en-US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:rsidR="00C815DB" w:rsidRDefault="00C815DB" w:rsidP="00C815D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C815D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5B2AA1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VIOLATIONS – Нарушения обнаружены;</w:t>
            </w:r>
          </w:p>
          <w:p w:rsidR="00C815DB" w:rsidRPr="005B2AA1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NO_VIOLATIONS - Нарушения не обнаружены.</w:t>
            </w:r>
          </w:p>
        </w:tc>
      </w:tr>
      <w:tr w:rsidR="004A6C58" w:rsidRPr="005B2AA1" w:rsidTr="00595DC2">
        <w:tc>
          <w:tcPr>
            <w:tcW w:w="745" w:type="pct"/>
            <w:gridSpan w:val="2"/>
            <w:shd w:val="clear" w:color="auto" w:fill="auto"/>
          </w:tcPr>
          <w:p w:rsidR="004A6C58" w:rsidRPr="00E232BB" w:rsidRDefault="004A6C58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4A6C58" w:rsidRPr="00104B12" w:rsidRDefault="005B2AA1" w:rsidP="008F5A3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  <w:lang w:val="en-US"/>
              </w:rPr>
              <w:t>inspectionType</w:t>
            </w:r>
          </w:p>
        </w:tc>
        <w:tc>
          <w:tcPr>
            <w:tcW w:w="198" w:type="pct"/>
            <w:shd w:val="clear" w:color="auto" w:fill="auto"/>
          </w:tcPr>
          <w:p w:rsidR="004A6C58" w:rsidRPr="007502C3" w:rsidRDefault="004A6C58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4A6C58" w:rsidRPr="00104B12" w:rsidRDefault="004A6C58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4A6C58" w:rsidRPr="00E232BB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Вид плановой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Доступные значения:</w:t>
            </w:r>
          </w:p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V-Выездная проверка</w:t>
            </w:r>
          </w:p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K-Камеральная проверка</w:t>
            </w:r>
          </w:p>
          <w:p w:rsidR="005B2AA1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>VV–Встречная проверка в рамках выездной проверки</w:t>
            </w:r>
          </w:p>
          <w:p w:rsidR="004A6C58" w:rsidRPr="005B2AA1" w:rsidRDefault="005B2AA1" w:rsidP="005B2AA1">
            <w:pPr>
              <w:spacing w:before="0" w:after="0"/>
              <w:rPr>
                <w:sz w:val="20"/>
              </w:rPr>
            </w:pPr>
            <w:r w:rsidRPr="005B2AA1">
              <w:rPr>
                <w:sz w:val="20"/>
              </w:rPr>
              <w:t xml:space="preserve">VK–Встречная проверка в рамках камеральной проверки 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595DC2" w:rsidRPr="00AD07D0" w:rsidRDefault="00595DC2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Внеплановая ревизия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AD07D0" w:rsidRDefault="00595DC2" w:rsidP="008F5A31">
            <w:pPr>
              <w:spacing w:before="0" w:after="0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unplannedRevision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80327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A057CF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A057C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595DC2" w:rsidRPr="00A057CF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A588D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595DC2" w:rsidRPr="001F6FCA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:rsidR="00595DC2" w:rsidRPr="0038552A" w:rsidRDefault="00595DC2" w:rsidP="008F5A31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F623E0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9617A" w:rsidRDefault="00595DC2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A166B9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595DC2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4A6C58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E67E4D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CB2A10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43" w:type="pct"/>
            <w:shd w:val="clear" w:color="auto" w:fill="auto"/>
          </w:tcPr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95DC2" w:rsidRPr="002A308C" w:rsidTr="00595DC2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FE40DA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2A308C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2A308C" w:rsidRDefault="00595DC2" w:rsidP="008F5A3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595DC2" w:rsidRPr="00AD07D0" w:rsidRDefault="00595DC2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Внепланов</w:t>
            </w:r>
            <w:r>
              <w:rPr>
                <w:b/>
                <w:sz w:val="20"/>
              </w:rPr>
              <w:t>ое</w:t>
            </w:r>
            <w:r w:rsidRPr="00595DC2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обследование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AD07D0" w:rsidRDefault="00595DC2" w:rsidP="008F5A31">
            <w:pPr>
              <w:spacing w:before="0" w:after="0"/>
              <w:rPr>
                <w:b/>
                <w:sz w:val="20"/>
              </w:rPr>
            </w:pPr>
            <w:r w:rsidRPr="00595DC2">
              <w:rPr>
                <w:b/>
                <w:sz w:val="20"/>
              </w:rPr>
              <w:t>unplannedSurvey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80327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A057CF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A057CF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595DC2" w:rsidRPr="00A057CF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A588D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595DC2" w:rsidRPr="001F6FCA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43" w:type="pct"/>
            <w:shd w:val="clear" w:color="auto" w:fill="auto"/>
          </w:tcPr>
          <w:p w:rsidR="00595DC2" w:rsidRPr="0038552A" w:rsidRDefault="00595DC2" w:rsidP="008F5A31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F623E0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19617A" w:rsidRDefault="00595DC2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A166B9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742E5E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43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595DC2" w:rsidRPr="001A4780" w:rsidTr="008F5A31">
        <w:trPr>
          <w:gridAfter w:val="2"/>
          <w:wAfter w:w="24" w:type="pct"/>
        </w:trPr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  <w:vAlign w:val="center"/>
          </w:tcPr>
          <w:p w:rsidR="00595DC2" w:rsidRPr="00F623E0" w:rsidRDefault="00595DC2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09" w:type="pct"/>
            <w:gridSpan w:val="3"/>
            <w:shd w:val="clear" w:color="auto" w:fill="auto"/>
            <w:vAlign w:val="center"/>
          </w:tcPr>
          <w:p w:rsidR="00595DC2" w:rsidRPr="00E87917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</w:t>
            </w: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  <w:r w:rsidRPr="003746F3">
              <w:rPr>
                <w:sz w:val="20"/>
              </w:rPr>
              <w:t>Предписание/Представление. 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4A6C58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95DC2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</w:p>
        </w:tc>
      </w:tr>
      <w:tr w:rsidR="00595DC2" w:rsidRPr="00E67E4D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Pr="00104B1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CB2A10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104B12" w:rsidRDefault="00595DC2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595DC2" w:rsidRPr="00E232BB" w:rsidRDefault="00595DC2" w:rsidP="008F5A31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43" w:type="pct"/>
            <w:shd w:val="clear" w:color="auto" w:fill="auto"/>
          </w:tcPr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595DC2" w:rsidRPr="00301732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595DC2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595DC2" w:rsidRPr="00FE40DA" w:rsidRDefault="00595DC2" w:rsidP="008F5A31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809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  <w:lang w:val="en-US"/>
              </w:rPr>
            </w:pPr>
            <w:r w:rsidRPr="002A308C">
              <w:rPr>
                <w:sz w:val="20"/>
                <w:lang w:val="en-US"/>
              </w:rPr>
              <w:t>includingUnfairSuppler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595DC2" w:rsidRPr="002A308C" w:rsidRDefault="00595DC2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595DC2" w:rsidRPr="002A308C" w:rsidRDefault="00A820A9" w:rsidP="008F5A31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Информация о включении участника закупки, поставщика (подрядчика, исполнителя) в РНП:</w:t>
            </w:r>
          </w:p>
          <w:p w:rsidR="00595DC2" w:rsidRPr="00CB2A10" w:rsidRDefault="00595DC2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95DC2" w:rsidRDefault="00595DC2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95DC2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DECISION_INCLUDE – Принято решение о включении в РНП;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DECISION_NOT_INCLUDE - Принято решение о, отказе во включении в РНП.</w:t>
            </w: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</w:p>
          <w:p w:rsidR="00595DC2" w:rsidRPr="002A308C" w:rsidRDefault="00595DC2" w:rsidP="008F5A31">
            <w:pPr>
              <w:spacing w:before="0" w:after="0"/>
              <w:rPr>
                <w:sz w:val="20"/>
              </w:rPr>
            </w:pPr>
            <w:r w:rsidRPr="002A308C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A820A9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820A9" w:rsidRPr="001645C6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  <w:lang w:val="en-US"/>
              </w:rPr>
            </w:pPr>
            <w:r w:rsidRPr="00595DC2">
              <w:rPr>
                <w:sz w:val="20"/>
                <w:lang w:val="en-US"/>
              </w:rPr>
              <w:t>conclusion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820A9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820A9" w:rsidRPr="00104B12" w:rsidRDefault="00A820A9" w:rsidP="00A820A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</w:rPr>
            </w:pPr>
            <w:r w:rsidRPr="00595DC2">
              <w:rPr>
                <w:sz w:val="20"/>
              </w:rPr>
              <w:t>Заключение</w:t>
            </w:r>
          </w:p>
        </w:tc>
        <w:tc>
          <w:tcPr>
            <w:tcW w:w="1343" w:type="pct"/>
            <w:shd w:val="clear" w:color="auto" w:fill="auto"/>
          </w:tcPr>
          <w:p w:rsidR="00A820A9" w:rsidRDefault="00A820A9" w:rsidP="00A820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820A9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conclusionPrescription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820A9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820A9" w:rsidRPr="00104B12" w:rsidRDefault="00A820A9" w:rsidP="00A820A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Предписание</w:t>
            </w:r>
          </w:p>
        </w:tc>
        <w:tc>
          <w:tcPr>
            <w:tcW w:w="1343" w:type="pct"/>
            <w:shd w:val="clear" w:color="auto" w:fill="auto"/>
          </w:tcPr>
          <w:p w:rsidR="00A820A9" w:rsidRDefault="00B51E8D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820A9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820A9" w:rsidRPr="002A308C" w:rsidRDefault="00A820A9" w:rsidP="00A820A9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surveyType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820A9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820A9" w:rsidRPr="00104B12" w:rsidRDefault="00A820A9" w:rsidP="00A820A9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Вид внепланового обследования</w:t>
            </w:r>
          </w:p>
          <w:p w:rsidR="00A820A9" w:rsidRPr="002A308C" w:rsidRDefault="00A820A9" w:rsidP="00A820A9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A820A9" w:rsidRDefault="00A820A9" w:rsidP="00A820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A820A9" w:rsidRDefault="00A820A9" w:rsidP="00A820A9">
            <w:pPr>
              <w:spacing w:before="0" w:after="0"/>
              <w:rPr>
                <w:sz w:val="20"/>
              </w:rPr>
            </w:pPr>
          </w:p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OV–Обследование в рамках выездной проверки;</w:t>
            </w:r>
          </w:p>
          <w:p w:rsidR="00A820A9" w:rsidRP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OK–Обследование в рамках камеральной проверки;</w:t>
            </w:r>
          </w:p>
          <w:p w:rsidR="00A820A9" w:rsidRDefault="00A820A9" w:rsidP="00A820A9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OR-обследование в рамках ревизии</w:t>
            </w:r>
          </w:p>
          <w:p w:rsidR="00A820A9" w:rsidRDefault="00A820A9" w:rsidP="00A820A9">
            <w:pPr>
              <w:spacing w:before="0" w:after="0"/>
              <w:rPr>
                <w:sz w:val="20"/>
              </w:rPr>
            </w:pPr>
          </w:p>
        </w:tc>
      </w:tr>
      <w:tr w:rsidR="007B0464" w:rsidRPr="00980AE6" w:rsidTr="00820733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7B0464" w:rsidRPr="00980AE6" w:rsidRDefault="00980AE6" w:rsidP="00820733">
            <w:pPr>
              <w:spacing w:before="0" w:after="0"/>
              <w:jc w:val="center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Предписание</w:t>
            </w:r>
          </w:p>
        </w:tc>
      </w:tr>
      <w:tr w:rsidR="007B0464" w:rsidRPr="00980AE6" w:rsidTr="00820733">
        <w:tc>
          <w:tcPr>
            <w:tcW w:w="745" w:type="pct"/>
            <w:gridSpan w:val="2"/>
            <w:shd w:val="clear" w:color="auto" w:fill="auto"/>
          </w:tcPr>
          <w:p w:rsidR="007B0464" w:rsidRPr="00980AE6" w:rsidRDefault="00980AE6" w:rsidP="00820733">
            <w:pPr>
              <w:spacing w:before="0" w:after="0"/>
              <w:rPr>
                <w:b/>
                <w:sz w:val="20"/>
              </w:rPr>
            </w:pPr>
            <w:r w:rsidRPr="000F2CA3">
              <w:rPr>
                <w:b/>
                <w:sz w:val="20"/>
                <w:lang w:val="en-US"/>
              </w:rPr>
              <w:t>conclusionPrescription</w:t>
            </w:r>
          </w:p>
        </w:tc>
        <w:tc>
          <w:tcPr>
            <w:tcW w:w="809" w:type="pct"/>
            <w:shd w:val="clear" w:color="auto" w:fill="auto"/>
          </w:tcPr>
          <w:p w:rsidR="007B0464" w:rsidRPr="00980AE6" w:rsidRDefault="007B0464" w:rsidP="00820733">
            <w:pPr>
              <w:spacing w:before="0" w:after="0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7B0464" w:rsidRPr="00DA4658" w:rsidRDefault="007B0464" w:rsidP="0082073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C10E28" w:rsidRDefault="007B0464" w:rsidP="0082073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7B0464" w:rsidRPr="00980AE6" w:rsidRDefault="007B0464" w:rsidP="00820733">
            <w:pPr>
              <w:spacing w:before="0" w:after="0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Pr="00980AE6" w:rsidRDefault="007B0464" w:rsidP="00820733">
            <w:pPr>
              <w:spacing w:before="0" w:after="0"/>
              <w:rPr>
                <w:b/>
                <w:sz w:val="20"/>
              </w:rPr>
            </w:pPr>
            <w:r w:rsidRPr="00980AE6">
              <w:rPr>
                <w:b/>
                <w:sz w:val="20"/>
              </w:rPr>
              <w:t xml:space="preserve">  </w:t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Тип документа, выданного в результате проведения контрольного мероприятия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 xml:space="preserve">Контролируется обязательность заполнения. </w:t>
            </w:r>
          </w:p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 xml:space="preserve">Игнорируется всегда для данных, размещенных до выхода версии 11.0. </w:t>
            </w:r>
          </w:p>
          <w:p w:rsidR="007B0464" w:rsidRP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Возможные значения:</w:t>
            </w:r>
          </w:p>
          <w:p w:rsidR="007B0464" w:rsidRP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prescription – Предписание;</w:t>
            </w:r>
          </w:p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B0464">
              <w:rPr>
                <w:sz w:val="20"/>
              </w:rPr>
              <w:t>submission – Представление.</w:t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B0464" w:rsidRPr="001A4780" w:rsidTr="007B0464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  <w:vAlign w:val="center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  <w:vAlign w:val="center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82" w:type="pct"/>
            <w:gridSpan w:val="4"/>
            <w:shd w:val="clear" w:color="auto" w:fill="auto"/>
            <w:vAlign w:val="center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B0464" w:rsidRPr="001A4780" w:rsidTr="00820733">
        <w:tc>
          <w:tcPr>
            <w:tcW w:w="745" w:type="pct"/>
            <w:gridSpan w:val="2"/>
            <w:shd w:val="clear" w:color="auto" w:fill="auto"/>
          </w:tcPr>
          <w:p w:rsidR="007B0464" w:rsidRPr="00E232BB" w:rsidRDefault="007B0464" w:rsidP="007B0464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7B0464" w:rsidRPr="00104B12" w:rsidRDefault="007B0464" w:rsidP="007B046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98" w:type="pct"/>
            <w:shd w:val="clear" w:color="auto" w:fill="auto"/>
          </w:tcPr>
          <w:p w:rsidR="007B0464" w:rsidRPr="0080327F" w:rsidRDefault="007B0464" w:rsidP="007B046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7B0464" w:rsidRPr="00E232BB" w:rsidRDefault="007B0464" w:rsidP="007B046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7B0464" w:rsidRDefault="007B0464" w:rsidP="007B046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 см. Приложение 2</w:t>
            </w:r>
          </w:p>
        </w:tc>
      </w:tr>
      <w:tr w:rsidR="00C815DB" w:rsidRPr="001A4780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C815DB" w:rsidRPr="003750EA" w:rsidRDefault="00C815DB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C815DB">
              <w:rPr>
                <w:b/>
                <w:sz w:val="20"/>
              </w:rPr>
              <w:t>Плановая ревизия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C815DB">
              <w:rPr>
                <w:b/>
                <w:sz w:val="20"/>
              </w:rPr>
              <w:t>plannedRevision</w:t>
            </w:r>
          </w:p>
        </w:tc>
        <w:tc>
          <w:tcPr>
            <w:tcW w:w="809" w:type="pct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C815DB" w:rsidRPr="006F7ABA" w:rsidRDefault="00C815DB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6F7ABA" w:rsidRDefault="00C815DB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6F7ABA" w:rsidRDefault="00C815DB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:rsidR="00C815DB" w:rsidRPr="0080327F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A057CF" w:rsidRDefault="00C815DB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C815DB" w:rsidRPr="00A057CF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C815DB" w:rsidRPr="00A057CF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CA588D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C815DB" w:rsidRPr="0038552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F623E0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87917" w:rsidRDefault="00C815DB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C815DB" w:rsidRPr="00E87917" w:rsidRDefault="00C815DB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:rsidR="00C815D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451D0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C815DB" w:rsidRPr="001A4780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E232BB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38552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C815DB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C815DB" w:rsidRPr="00F623E0" w:rsidRDefault="00C815DB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104B12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19617A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E87917" w:rsidRDefault="00C815DB" w:rsidP="008F5A3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15DB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F623E0" w:rsidRDefault="00C815DB" w:rsidP="008F5A31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Pr="00A310E5" w:rsidRDefault="00C815DB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A310E5" w:rsidRDefault="00C815DB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A310E5" w:rsidRDefault="00C815DB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</w:p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B2AA1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  <w:r>
              <w:rPr>
                <w:sz w:val="20"/>
              </w:rPr>
              <w:t xml:space="preserve"> выше</w:t>
            </w:r>
          </w:p>
        </w:tc>
      </w:tr>
      <w:tr w:rsidR="00C815DB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C815DB" w:rsidRPr="0019617A" w:rsidRDefault="00C815DB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</w:tr>
      <w:tr w:rsidR="00C815DB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9617A" w:rsidDel="007151B3" w:rsidRDefault="00C815DB" w:rsidP="008F5A31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15DB" w:rsidDel="007151B3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C815DB" w:rsidRPr="00104B12" w:rsidDel="007151B3" w:rsidRDefault="00C815DB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Del="007151B3" w:rsidRDefault="00C815DB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C815DB" w:rsidRDefault="00C815DB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C815DB" w:rsidRPr="00E87917" w:rsidRDefault="00C815DB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5B2AA1">
              <w:rPr>
                <w:sz w:val="20"/>
              </w:rPr>
              <w:t>unplannedCheck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actP</w:t>
            </w:r>
            <w:r w:rsidRPr="0019617A">
              <w:rPr>
                <w:sz w:val="20"/>
              </w:rPr>
              <w:t>rescription</w:t>
            </w:r>
            <w:r>
              <w:rPr>
                <w:sz w:val="20"/>
              </w:rPr>
              <w:t xml:space="preserve"> выше</w:t>
            </w:r>
          </w:p>
        </w:tc>
      </w:tr>
      <w:tr w:rsidR="00C815DB" w:rsidRPr="005B2AA1" w:rsidTr="008F5A31">
        <w:tc>
          <w:tcPr>
            <w:tcW w:w="745" w:type="pct"/>
            <w:gridSpan w:val="2"/>
            <w:shd w:val="clear" w:color="auto" w:fill="auto"/>
          </w:tcPr>
          <w:p w:rsidR="00C815DB" w:rsidRPr="00E232BB" w:rsidRDefault="00C815DB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C815DB" w:rsidRPr="00104B12" w:rsidRDefault="00C815DB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:rsidR="00C815DB" w:rsidRPr="007502C3" w:rsidRDefault="00C815DB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C815DB" w:rsidRPr="00104B12" w:rsidRDefault="00C815DB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C815DB" w:rsidRPr="00E232BB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</w:p>
          <w:p w:rsidR="00C815DB" w:rsidRPr="00C815DB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VIOLATIONS – Нарушения обнаружены;</w:t>
            </w:r>
          </w:p>
          <w:p w:rsidR="00C815DB" w:rsidRPr="005B2AA1" w:rsidRDefault="00C815DB" w:rsidP="00C815DB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NO_VIOLATIONS - Нарушения не обнаружены.</w:t>
            </w:r>
          </w:p>
        </w:tc>
      </w:tr>
      <w:tr w:rsidR="00AB703C" w:rsidRPr="001A4780" w:rsidTr="008F5A31">
        <w:trPr>
          <w:gridAfter w:val="2"/>
          <w:wAfter w:w="24" w:type="pct"/>
        </w:trPr>
        <w:tc>
          <w:tcPr>
            <w:tcW w:w="4976" w:type="pct"/>
            <w:gridSpan w:val="11"/>
            <w:shd w:val="clear" w:color="auto" w:fill="auto"/>
          </w:tcPr>
          <w:p w:rsidR="00AB703C" w:rsidRPr="003750EA" w:rsidRDefault="00AB703C" w:rsidP="008F5A31">
            <w:pPr>
              <w:spacing w:before="0" w:after="0"/>
              <w:jc w:val="center"/>
              <w:rPr>
                <w:b/>
                <w:sz w:val="20"/>
              </w:rPr>
            </w:pPr>
            <w:r w:rsidRPr="00AB703C">
              <w:rPr>
                <w:b/>
                <w:sz w:val="20"/>
              </w:rPr>
              <w:t>Плановое обследование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AB703C">
              <w:rPr>
                <w:b/>
                <w:sz w:val="20"/>
              </w:rPr>
              <w:t>plannedSurvey</w:t>
            </w:r>
          </w:p>
        </w:tc>
        <w:tc>
          <w:tcPr>
            <w:tcW w:w="809" w:type="pct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98" w:type="pct"/>
            <w:shd w:val="clear" w:color="auto" w:fill="auto"/>
          </w:tcPr>
          <w:p w:rsidR="00AB703C" w:rsidRPr="006F7ABA" w:rsidRDefault="00AB703C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6F7ABA" w:rsidRDefault="00AB703C" w:rsidP="008F5A3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6F7ABA" w:rsidRDefault="00AB703C" w:rsidP="008F5A31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98" w:type="pct"/>
            <w:shd w:val="clear" w:color="auto" w:fill="auto"/>
          </w:tcPr>
          <w:p w:rsidR="00AB703C" w:rsidRPr="0080327F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A057CF" w:rsidRDefault="00AB703C" w:rsidP="008F5A3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AB703C" w:rsidRPr="00A057CF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AB703C" w:rsidRPr="00A057CF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98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CA588D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рузке.</w:t>
            </w:r>
          </w:p>
          <w:p w:rsidR="00AB703C" w:rsidRPr="0038552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F623E0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87917" w:rsidRDefault="00AB703C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  <w:p w:rsidR="00AB703C" w:rsidRPr="00E87917" w:rsidRDefault="00AB703C" w:rsidP="008F5A31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136EFA">
              <w:rPr>
                <w:sz w:val="20"/>
              </w:rPr>
              <w:t>bjectOtherInfo</w:t>
            </w:r>
          </w:p>
        </w:tc>
        <w:tc>
          <w:tcPr>
            <w:tcW w:w="198" w:type="pct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451D0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AB703C" w:rsidRPr="001A4780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E232BB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38552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AB703C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AB703C" w:rsidRPr="00F623E0" w:rsidRDefault="00AB703C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104B12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19617A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E87917" w:rsidRDefault="00AB703C" w:rsidP="008F5A31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B703C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F623E0" w:rsidRDefault="00AB703C" w:rsidP="008F5A31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Pr="00A310E5" w:rsidRDefault="00AB703C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A310E5" w:rsidRDefault="00AB703C" w:rsidP="008F5A31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A310E5" w:rsidRDefault="00AB703C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</w:p>
          <w:p w:rsidR="00AB703C" w:rsidRPr="00E87917" w:rsidRDefault="00B704E6" w:rsidP="008F5A3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AB703C" w:rsidRPr="001A4780" w:rsidTr="008F5A31">
        <w:tc>
          <w:tcPr>
            <w:tcW w:w="745" w:type="pct"/>
            <w:gridSpan w:val="2"/>
            <w:vMerge w:val="restart"/>
            <w:shd w:val="clear" w:color="auto" w:fill="auto"/>
            <w:vAlign w:val="center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809" w:type="pct"/>
            <w:shd w:val="clear" w:color="auto" w:fill="auto"/>
          </w:tcPr>
          <w:p w:rsidR="00AB703C" w:rsidRPr="0019617A" w:rsidRDefault="00AB703C" w:rsidP="008F5A31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</w:tr>
      <w:tr w:rsidR="00AB703C" w:rsidRPr="001A4780" w:rsidTr="008F5A31">
        <w:tc>
          <w:tcPr>
            <w:tcW w:w="745" w:type="pct"/>
            <w:gridSpan w:val="2"/>
            <w:vMerge/>
            <w:shd w:val="clear" w:color="auto" w:fill="auto"/>
            <w:vAlign w:val="center"/>
          </w:tcPr>
          <w:p w:rsidR="00AB703C" w:rsidRPr="00E87917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9617A" w:rsidDel="007151B3" w:rsidRDefault="00AB703C" w:rsidP="008F5A31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703C" w:rsidDel="007151B3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72" w:type="pct"/>
            <w:gridSpan w:val="3"/>
            <w:shd w:val="clear" w:color="auto" w:fill="auto"/>
            <w:vAlign w:val="center"/>
          </w:tcPr>
          <w:p w:rsidR="00AB703C" w:rsidRPr="00104B12" w:rsidDel="007151B3" w:rsidRDefault="00AB703C" w:rsidP="008F5A31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Del="007151B3" w:rsidRDefault="00AB703C" w:rsidP="008F5A31">
            <w:pPr>
              <w:spacing w:before="0" w:after="0"/>
              <w:rPr>
                <w:sz w:val="20"/>
              </w:rPr>
            </w:pPr>
            <w:r w:rsidRPr="00683C30">
              <w:rPr>
                <w:sz w:val="20"/>
              </w:rPr>
              <w:t>Предписание/Представление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AB703C" w:rsidRDefault="00AB703C" w:rsidP="008F5A31">
            <w:pPr>
              <w:spacing w:before="0" w:after="0"/>
              <w:ind w:firstLine="51"/>
              <w:rPr>
                <w:sz w:val="20"/>
              </w:rPr>
            </w:pPr>
            <w:r w:rsidRPr="00683C30">
              <w:rPr>
                <w:sz w:val="20"/>
              </w:rPr>
              <w:t>Для результатов контроля, размещенных до выхода версии 11.0 допускается указание лишь одного блока "Предписание/Представление"</w:t>
            </w:r>
          </w:p>
          <w:p w:rsidR="00AB703C" w:rsidRPr="00E87917" w:rsidRDefault="00B704E6" w:rsidP="008F5A31">
            <w:pPr>
              <w:spacing w:before="0" w:after="0"/>
              <w:rPr>
                <w:sz w:val="20"/>
              </w:rPr>
            </w:pPr>
            <w:r w:rsidRPr="00B704E6">
              <w:rPr>
                <w:sz w:val="20"/>
              </w:rPr>
              <w:t>Состав блока – см. состав соответствующего блока (в составе блока «Плановое обследование» (plannedSurvey) документа "Результат контроля" (eventResult))</w:t>
            </w:r>
          </w:p>
        </w:tc>
      </w:tr>
      <w:tr w:rsidR="00AB703C" w:rsidRPr="005B2AA1" w:rsidTr="008F5A31">
        <w:tc>
          <w:tcPr>
            <w:tcW w:w="745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104B12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  <w:lang w:val="en-US"/>
              </w:rPr>
              <w:t>checkResult</w:t>
            </w:r>
          </w:p>
        </w:tc>
        <w:tc>
          <w:tcPr>
            <w:tcW w:w="198" w:type="pct"/>
            <w:shd w:val="clear" w:color="auto" w:fill="auto"/>
          </w:tcPr>
          <w:p w:rsidR="00AB703C" w:rsidRPr="007502C3" w:rsidRDefault="00AB703C" w:rsidP="008F5A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394" w:type="pct"/>
            <w:gridSpan w:val="2"/>
            <w:shd w:val="clear" w:color="auto" w:fill="auto"/>
          </w:tcPr>
          <w:p w:rsidR="00AB703C" w:rsidRPr="00E232BB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Результат проведения проверки</w:t>
            </w:r>
          </w:p>
        </w:tc>
        <w:tc>
          <w:tcPr>
            <w:tcW w:w="1382" w:type="pct"/>
            <w:gridSpan w:val="4"/>
            <w:shd w:val="clear" w:color="auto" w:fill="auto"/>
          </w:tcPr>
          <w:p w:rsidR="00AB703C" w:rsidRPr="00C815DB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C815DB">
              <w:rPr>
                <w:sz w:val="20"/>
              </w:rPr>
              <w:t>:</w:t>
            </w:r>
          </w:p>
          <w:p w:rsidR="00AB703C" w:rsidRPr="00C815DB" w:rsidRDefault="00AB703C" w:rsidP="008F5A31">
            <w:pPr>
              <w:spacing w:before="0" w:after="0"/>
              <w:rPr>
                <w:sz w:val="20"/>
              </w:rPr>
            </w:pPr>
          </w:p>
          <w:p w:rsidR="00AB703C" w:rsidRPr="00C815DB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VIOLATIONS – Нарушения обнаружены;</w:t>
            </w:r>
          </w:p>
          <w:p w:rsidR="00AB703C" w:rsidRPr="005B2AA1" w:rsidRDefault="00AB703C" w:rsidP="008F5A31">
            <w:pPr>
              <w:spacing w:before="0" w:after="0"/>
              <w:rPr>
                <w:sz w:val="20"/>
              </w:rPr>
            </w:pPr>
            <w:r w:rsidRPr="00C815DB">
              <w:rPr>
                <w:sz w:val="20"/>
              </w:rPr>
              <w:t>NO_VIOLATIONS - Нарушения не обнаружены.</w:t>
            </w:r>
          </w:p>
        </w:tc>
      </w:tr>
      <w:tr w:rsidR="00AB703C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B703C" w:rsidRPr="001645C6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  <w:lang w:val="en-US"/>
              </w:rPr>
            </w:pPr>
            <w:r w:rsidRPr="00595DC2">
              <w:rPr>
                <w:sz w:val="20"/>
                <w:lang w:val="en-US"/>
              </w:rPr>
              <w:t>conclusion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</w:rPr>
            </w:pPr>
            <w:r w:rsidRPr="00595DC2">
              <w:rPr>
                <w:sz w:val="20"/>
              </w:rPr>
              <w:t>Заключение</w:t>
            </w:r>
          </w:p>
        </w:tc>
        <w:tc>
          <w:tcPr>
            <w:tcW w:w="1343" w:type="pct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соответствующего блока документа «</w:t>
            </w:r>
            <w:r w:rsidRPr="003746F3">
              <w:rPr>
                <w:sz w:val="20"/>
              </w:rPr>
              <w:t>Результат контроля для ИС ФАС (ИС КО)</w:t>
            </w:r>
            <w:r>
              <w:rPr>
                <w:sz w:val="20"/>
              </w:rPr>
              <w:t>» (</w:t>
            </w:r>
            <w:r w:rsidRPr="003746F3">
              <w:rPr>
                <w:sz w:val="20"/>
              </w:rPr>
              <w:t>checkResult</w:t>
            </w:r>
            <w:r>
              <w:rPr>
                <w:sz w:val="20"/>
              </w:rPr>
              <w:t>)</w:t>
            </w:r>
          </w:p>
        </w:tc>
      </w:tr>
      <w:tr w:rsidR="00AB703C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conclusionPrescription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9" w:type="pct"/>
            <w:gridSpan w:val="3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Предписание</w:t>
            </w:r>
          </w:p>
        </w:tc>
        <w:tc>
          <w:tcPr>
            <w:tcW w:w="1343" w:type="pct"/>
            <w:shd w:val="clear" w:color="auto" w:fill="auto"/>
          </w:tcPr>
          <w:p w:rsidR="008F5A31" w:rsidRDefault="008F5A31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соответствующего блока </w:t>
            </w:r>
            <w:r w:rsidR="00980AE6">
              <w:rPr>
                <w:sz w:val="20"/>
              </w:rPr>
              <w:t>выше (в составе блока «</w:t>
            </w:r>
            <w:r w:rsidR="00980AE6" w:rsidRPr="00980AE6">
              <w:rPr>
                <w:sz w:val="20"/>
              </w:rPr>
              <w:t>Плановое обследование</w:t>
            </w:r>
            <w:r w:rsidR="00980AE6">
              <w:rPr>
                <w:sz w:val="20"/>
              </w:rPr>
              <w:t>» (</w:t>
            </w:r>
            <w:r w:rsidR="00980AE6" w:rsidRPr="00980AE6">
              <w:rPr>
                <w:sz w:val="20"/>
              </w:rPr>
              <w:t>plannedSurvey</w:t>
            </w:r>
            <w:r w:rsidR="00980AE6">
              <w:rPr>
                <w:sz w:val="20"/>
              </w:rPr>
              <w:t>))</w:t>
            </w:r>
          </w:p>
        </w:tc>
      </w:tr>
      <w:tr w:rsidR="00AB703C" w:rsidRPr="002A308C" w:rsidTr="008F5A31">
        <w:trPr>
          <w:gridAfter w:val="2"/>
          <w:wAfter w:w="24" w:type="pct"/>
        </w:trPr>
        <w:tc>
          <w:tcPr>
            <w:tcW w:w="745" w:type="pct"/>
            <w:gridSpan w:val="2"/>
            <w:shd w:val="clear" w:color="auto" w:fill="auto"/>
          </w:tcPr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809" w:type="pct"/>
            <w:shd w:val="clear" w:color="auto" w:fill="auto"/>
          </w:tcPr>
          <w:p w:rsidR="00AB703C" w:rsidRPr="002A308C" w:rsidRDefault="00AB703C" w:rsidP="008F5A31">
            <w:pPr>
              <w:spacing w:before="0" w:after="0"/>
              <w:rPr>
                <w:sz w:val="20"/>
                <w:lang w:val="en-US"/>
              </w:rPr>
            </w:pPr>
            <w:r w:rsidRPr="00A820A9">
              <w:rPr>
                <w:sz w:val="20"/>
                <w:lang w:val="en-US"/>
              </w:rPr>
              <w:t>surveyType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AB703C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594C7A">
              <w:rPr>
                <w:sz w:val="20"/>
              </w:rPr>
              <w:t>Н</w:t>
            </w:r>
          </w:p>
        </w:tc>
        <w:tc>
          <w:tcPr>
            <w:tcW w:w="469" w:type="pct"/>
            <w:gridSpan w:val="2"/>
            <w:shd w:val="clear" w:color="auto" w:fill="auto"/>
          </w:tcPr>
          <w:p w:rsidR="00AB703C" w:rsidRPr="00104B12" w:rsidRDefault="00AB703C" w:rsidP="008F5A31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09" w:type="pct"/>
            <w:gridSpan w:val="3"/>
            <w:shd w:val="clear" w:color="auto" w:fill="auto"/>
          </w:tcPr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Вид внепланового обследования</w:t>
            </w:r>
          </w:p>
          <w:p w:rsidR="00AB703C" w:rsidRPr="002A308C" w:rsidRDefault="00AB703C" w:rsidP="008F5A3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AB703C" w:rsidRDefault="00AB703C" w:rsidP="008F5A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AB703C" w:rsidRDefault="00AB703C" w:rsidP="008F5A31">
            <w:pPr>
              <w:spacing w:before="0" w:after="0"/>
              <w:rPr>
                <w:sz w:val="20"/>
              </w:rPr>
            </w:pPr>
          </w:p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OV–Обследование в рамках выездной проверки;</w:t>
            </w:r>
          </w:p>
          <w:p w:rsidR="00AB703C" w:rsidRPr="00A820A9" w:rsidRDefault="00AB703C" w:rsidP="008F5A31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OK–Обследование в рамках камеральной проверки;</w:t>
            </w:r>
          </w:p>
          <w:p w:rsidR="00AB703C" w:rsidRDefault="00AB703C" w:rsidP="00AB703C">
            <w:pPr>
              <w:spacing w:before="0" w:after="0"/>
              <w:rPr>
                <w:sz w:val="20"/>
              </w:rPr>
            </w:pPr>
            <w:r w:rsidRPr="00A820A9">
              <w:rPr>
                <w:sz w:val="20"/>
              </w:rPr>
              <w:t>OR-обследование в рамках ревизии</w:t>
            </w:r>
          </w:p>
        </w:tc>
      </w:tr>
    </w:tbl>
    <w:p w:rsidR="003A72E3" w:rsidRPr="005B2AA1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E67E4D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C10E28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10E28">
              <w:rPr>
                <w:sz w:val="20"/>
                <w:lang w:eastAsia="en-US"/>
              </w:rPr>
              <w:t>Состав блок</w:t>
            </w:r>
            <w:r>
              <w:rPr>
                <w:sz w:val="20"/>
                <w:lang w:eastAsia="en-US"/>
              </w:rPr>
              <w:t>ов</w:t>
            </w:r>
            <w:r w:rsidRPr="00C10E28">
              <w:rPr>
                <w:sz w:val="20"/>
                <w:lang w:eastAsia="en-US"/>
              </w:rPr>
              <w:t xml:space="preserve"> – см. состав соответствующего блока </w:t>
            </w:r>
            <w:r>
              <w:rPr>
                <w:sz w:val="20"/>
                <w:lang w:eastAsia="en-US"/>
              </w:rPr>
              <w:t xml:space="preserve">в </w:t>
            </w:r>
            <w:r w:rsidRPr="00C10E28">
              <w:rPr>
                <w:sz w:val="20"/>
                <w:lang w:eastAsia="en-US"/>
              </w:rPr>
              <w:t>документ</w:t>
            </w:r>
            <w:r>
              <w:rPr>
                <w:sz w:val="20"/>
                <w:lang w:eastAsia="en-US"/>
              </w:rPr>
              <w:t>е</w:t>
            </w:r>
            <w:r w:rsidRPr="00C10E28">
              <w:rPr>
                <w:sz w:val="20"/>
                <w:lang w:eastAsia="en-US"/>
              </w:rPr>
              <w:t xml:space="preserve"> "Результат контроля" (eventResult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>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1645C6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1645C6" w:rsidRDefault="001645C6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645C6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645C6" w:rsidRPr="00F10339" w:rsidTr="008F5A31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45C6" w:rsidRPr="00F10339" w:rsidRDefault="001645C6" w:rsidP="008F5A3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E67E4D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C46225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C46225" w:rsidRDefault="00E67E4D" w:rsidP="00E67E4D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E67E4D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authorityName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E67E4D" w:rsidTr="008F5A31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Default="00E67E4D" w:rsidP="00E67E4D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Тип документа, выданного в результате проведения контрольного мероприятия (для печатной формы)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Возможные значения:</w:t>
            </w:r>
          </w:p>
          <w:p w:rsidR="00E67E4D" w:rsidRP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prescription – Предписание;</w:t>
            </w:r>
          </w:p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7E4D">
              <w:rPr>
                <w:sz w:val="20"/>
                <w:lang w:eastAsia="en-US"/>
              </w:rPr>
              <w:t>submission – Представление.</w:t>
            </w:r>
          </w:p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67E4D" w:rsidRDefault="00E67E4D" w:rsidP="00E67E4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8139C6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8139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8139C6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Контролируется обязательность заполнения. 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>При приеме значение  контролируется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указано 2 позиции ОКПД2/позиции КТРУ/укрупненной позиции КТРУ,  и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КТРУ,  и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Во всех случаях если поле заполнено в принимаемом документе, то оно не 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8139C6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8139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8139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8139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8139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8139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особой 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>Обязателен для заполнения для новых позиций. При приеме значение  контролируется  на соответствие значениям полей: 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>При приеме, в случае если поле заполнено, значение контролируется на соответствие  значению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d{4}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</w:t>
            </w:r>
            <w:r w:rsidR="00864774">
              <w:rPr>
                <w:sz w:val="20"/>
              </w:rPr>
              <w:t>, 9.2, 9.3</w:t>
            </w:r>
            <w:r w:rsidR="00CE1429">
              <w:rPr>
                <w:sz w:val="20"/>
              </w:rPr>
              <w:t>, 10.0</w:t>
            </w:r>
            <w:r w:rsidR="000441D1">
              <w:rPr>
                <w:sz w:val="20"/>
              </w:rPr>
              <w:t>, 10.1</w:t>
            </w:r>
            <w:r w:rsidR="009F3FA0">
              <w:rPr>
                <w:sz w:val="20"/>
              </w:rPr>
              <w:t xml:space="preserve">, </w:t>
            </w:r>
            <w:r w:rsidR="00B62422">
              <w:rPr>
                <w:sz w:val="20"/>
              </w:rPr>
              <w:t xml:space="preserve">10.2, 10.2.310, </w:t>
            </w:r>
            <w:r w:rsidR="007353C6">
              <w:rPr>
                <w:sz w:val="20"/>
              </w:rPr>
              <w:t>10.3, 11.0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08 - Сведения типового 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E67E4D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SO - Специализированная 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Наименование организации, 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1D1"/>
    <w:rsid w:val="00044F60"/>
    <w:rsid w:val="000455DD"/>
    <w:rsid w:val="00045FA0"/>
    <w:rsid w:val="00047DC0"/>
    <w:rsid w:val="00051EC9"/>
    <w:rsid w:val="00056D4E"/>
    <w:rsid w:val="00061C7F"/>
    <w:rsid w:val="00062A29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69F4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CA3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5C6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46F3"/>
    <w:rsid w:val="003750EA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A6C58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15B86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5DC2"/>
    <w:rsid w:val="0059622E"/>
    <w:rsid w:val="005A53E2"/>
    <w:rsid w:val="005B06D5"/>
    <w:rsid w:val="005B2AA1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3C30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3C6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0464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CA6"/>
    <w:rsid w:val="007E618C"/>
    <w:rsid w:val="007F04E4"/>
    <w:rsid w:val="007F14DA"/>
    <w:rsid w:val="007F290C"/>
    <w:rsid w:val="007F5668"/>
    <w:rsid w:val="00811F38"/>
    <w:rsid w:val="008139C6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4774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8F5A31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0AE6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3FA0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4480C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20A9"/>
    <w:rsid w:val="00A83670"/>
    <w:rsid w:val="00A863B0"/>
    <w:rsid w:val="00A87F6C"/>
    <w:rsid w:val="00A94DE5"/>
    <w:rsid w:val="00A95E4B"/>
    <w:rsid w:val="00A9651D"/>
    <w:rsid w:val="00AA486A"/>
    <w:rsid w:val="00AA5178"/>
    <w:rsid w:val="00AB0215"/>
    <w:rsid w:val="00AB2F62"/>
    <w:rsid w:val="00AB4D4D"/>
    <w:rsid w:val="00AB703C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1E8D"/>
    <w:rsid w:val="00B52FC2"/>
    <w:rsid w:val="00B53192"/>
    <w:rsid w:val="00B57C5E"/>
    <w:rsid w:val="00B62422"/>
    <w:rsid w:val="00B639AD"/>
    <w:rsid w:val="00B704E6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0176"/>
    <w:rsid w:val="00C02F8F"/>
    <w:rsid w:val="00C067A4"/>
    <w:rsid w:val="00C106CF"/>
    <w:rsid w:val="00C10E28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15DB"/>
    <w:rsid w:val="00C82F86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142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A4658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67E4D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2E70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D495B9CA-795B-4B3B-A383-096B086E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15853</TotalTime>
  <Pages>1</Pages>
  <Words>38748</Words>
  <Characters>220865</Characters>
  <Application>Microsoft Office Word</Application>
  <DocSecurity>0</DocSecurity>
  <Lines>1840</Lines>
  <Paragraphs>518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Югин Виталий</cp:lastModifiedBy>
  <cp:revision>570</cp:revision>
  <dcterms:created xsi:type="dcterms:W3CDTF">2015-07-30T13:24:00Z</dcterms:created>
  <dcterms:modified xsi:type="dcterms:W3CDTF">2020-12-25T11:42:00Z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