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51570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E3149">
        <w:rPr>
          <w:sz w:val="28"/>
        </w:rPr>
        <w:t>8</w:t>
      </w:r>
      <w:r w:rsidR="00E97AA5" w:rsidRPr="00E97AA5">
        <w:rPr>
          <w:sz w:val="28"/>
        </w:rPr>
        <w:t>.</w:t>
      </w:r>
      <w:r w:rsidR="00065549" w:rsidRPr="0051570C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9}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</w:t>
            </w:r>
            <w:r w:rsidRPr="00C316CF">
              <w:rPr>
                <w:sz w:val="20"/>
              </w:rPr>
              <w:lastRenderedPageBreak/>
              <w:t>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>ванный во внешней 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2471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2471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2471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2471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2471A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2471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 xml:space="preserve">Допустимо указание только </w:t>
            </w:r>
            <w:r w:rsidRPr="00162C8B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Предписание органа, уполномоченного на </w:t>
            </w:r>
            <w:r w:rsidRPr="00162C8B">
              <w:rPr>
                <w:sz w:val="20"/>
              </w:rPr>
              <w:lastRenderedPageBreak/>
              <w:t>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FD3C60" w:rsidRDefault="00FD3C60" w:rsidP="00FD3C6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 xml:space="preserve">При указании блока должен быть заполнен элемент foundationDocNumber или foundationDocNumberExternal. В случае указания обоих элементов, элемент foundationDocNumberExternal </w:t>
            </w:r>
            <w:r w:rsidRPr="00FD3C60">
              <w:rPr>
                <w:sz w:val="20"/>
              </w:rPr>
              <w:lastRenderedPageBreak/>
              <w:t>будет игнорироваться. При выгрузке заполняются оба вложенных элемента</w:t>
            </w:r>
            <w:r w:rsidR="00A7100E">
              <w:rPr>
                <w:sz w:val="20"/>
              </w:rPr>
              <w:t>.</w:t>
            </w:r>
          </w:p>
          <w:p w:rsidR="00A7100E" w:rsidRPr="00A7100E" w:rsidRDefault="00A7100E" w:rsidP="00A7100E">
            <w:pPr>
              <w:spacing w:before="0" w:after="0"/>
              <w:rPr>
                <w:sz w:val="20"/>
              </w:rPr>
            </w:pPr>
            <w:r w:rsidRPr="00A7100E">
              <w:rPr>
                <w:sz w:val="20"/>
              </w:rPr>
              <w:t xml:space="preserve">Документ-основание - это размещенный </w:t>
            </w:r>
            <w:r>
              <w:rPr>
                <w:sz w:val="20"/>
              </w:rPr>
              <w:t>в открытой части ЕИС</w:t>
            </w:r>
            <w:r w:rsidRPr="00A7100E">
              <w:rPr>
                <w:sz w:val="20"/>
              </w:rPr>
              <w:t xml:space="preserve"> документ, без наличия которого по бизнес-сценариям невозможно разместить принимаемый докумен</w:t>
            </w:r>
            <w:r>
              <w:rPr>
                <w:sz w:val="20"/>
              </w:rPr>
              <w:t xml:space="preserve">т. </w:t>
            </w:r>
            <w:r w:rsidRPr="00A7100E">
              <w:rPr>
                <w:sz w:val="20"/>
              </w:rPr>
              <w:t>Например, для epProtocolOK1 - это epNotificationOK</w:t>
            </w:r>
          </w:p>
          <w:p w:rsidR="00A7100E" w:rsidRDefault="00A7100E" w:rsidP="00A7100E">
            <w:pPr>
              <w:spacing w:before="0" w:after="0"/>
              <w:rPr>
                <w:sz w:val="20"/>
              </w:rPr>
            </w:pPr>
            <w:r w:rsidRPr="00A7100E">
              <w:rPr>
                <w:sz w:val="20"/>
              </w:rPr>
              <w:t>для epProtocolOK2 - это epProtocolOK2 и т.д.</w:t>
            </w:r>
          </w:p>
          <w:p w:rsidR="00CC39F9" w:rsidRPr="00C316CF" w:rsidRDefault="00CC39F9" w:rsidP="00A7100E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В случае заполнения блока, проверяется, что по данной закупке существует документ с указанным номером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 xml:space="preserve">В случае заполнения блока, проверяется, что по данной закупке существует документ с указанным номером, </w:t>
            </w:r>
            <w:r w:rsidRPr="00626863">
              <w:rPr>
                <w:sz w:val="20"/>
              </w:rPr>
              <w:lastRenderedPageBreak/>
              <w:t>сформированным во внешней системе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41582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P4 - В соответствии с ч. 4 ст. 15 </w:t>
            </w:r>
            <w:r w:rsidRPr="006909CE">
              <w:rPr>
                <w:sz w:val="20"/>
              </w:rPr>
              <w:lastRenderedPageBreak/>
              <w:t>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</w:t>
            </w:r>
            <w:r w:rsidRPr="00C316CF">
              <w:rPr>
                <w:sz w:val="20"/>
              </w:rPr>
              <w:lastRenderedPageBreak/>
              <w:t>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организации из </w:t>
            </w:r>
            <w:r w:rsidRPr="00C316CF">
              <w:rPr>
                <w:sz w:val="20"/>
              </w:rPr>
              <w:lastRenderedPageBreak/>
              <w:t>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9}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Дата и время начала подачи </w:t>
            </w:r>
            <w:r w:rsidRPr="00C316CF">
              <w:rPr>
                <w:sz w:val="20"/>
              </w:rPr>
              <w:lastRenderedPageBreak/>
              <w:t>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Заполнение доступно только при значении «Российский рубль» поля lot/currency</w:t>
            </w:r>
          </w:p>
          <w:p w:rsidR="00094009" w:rsidRDefault="00094009" w:rsidP="00687656">
            <w:pPr>
              <w:spacing w:before="0" w:after="0"/>
              <w:rPr>
                <w:sz w:val="20"/>
              </w:rPr>
            </w:pP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 поставщиком (подрядчиком, исполнителем) будет заключен </w:t>
            </w:r>
            <w:r w:rsidRPr="00C316CF">
              <w:rPr>
                <w:sz w:val="20"/>
              </w:rPr>
              <w:lastRenderedPageBreak/>
              <w:t>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по коду СвР, а код СПЗ неизвестен, необходимо </w:t>
            </w:r>
            <w:r w:rsidRPr="00C316CF">
              <w:rPr>
                <w:sz w:val="20"/>
              </w:rPr>
              <w:lastRenderedPageBreak/>
              <w:t>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</w:t>
            </w:r>
            <w:r w:rsidRPr="00C316CF">
              <w:rPr>
                <w:sz w:val="20"/>
              </w:rPr>
              <w:lastRenderedPageBreak/>
              <w:t>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Начальная (максимальная) цена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</w:t>
            </w:r>
            <w:proofErr w:type="gramStart"/>
            <w:r w:rsidRPr="00C316CF">
              <w:rPr>
                <w:sz w:val="20"/>
              </w:rPr>
              <w:t>\.\d{</w:t>
            </w:r>
            <w:proofErr w:type="gramEnd"/>
            <w:r w:rsidRPr="00C316CF">
              <w:rPr>
                <w:sz w:val="20"/>
              </w:rPr>
              <w:t>1,2})?</w:t>
            </w:r>
          </w:p>
          <w:p w:rsidR="0051570C" w:rsidRPr="0051570C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Заполняется автоматически по формуле:</w:t>
            </w:r>
          </w:p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 xml:space="preserve">зации в ЕИС = FALSE, то автоматически заполняется при передаче </w:t>
            </w:r>
            <w:r w:rsidRPr="00C316CF">
              <w:rPr>
                <w:sz w:val="20"/>
              </w:rPr>
              <w:lastRenderedPageBreak/>
              <w:t>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</w:t>
            </w:r>
            <w:proofErr w:type="gramStart"/>
            <w:r w:rsidRPr="00C316CF">
              <w:rPr>
                <w:sz w:val="20"/>
              </w:rPr>
              <w:t>18}(</w:t>
            </w:r>
            <w:proofErr w:type="gramEnd"/>
            <w:r w:rsidRPr="00C316CF">
              <w:rPr>
                <w:sz w:val="20"/>
              </w:rPr>
              <w:t>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</w:t>
            </w:r>
            <w:r w:rsidRPr="00C316CF">
              <w:rPr>
                <w:b/>
                <w:bCs/>
                <w:sz w:val="20"/>
              </w:rPr>
              <w:lastRenderedPageBreak/>
              <w:t>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позиций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 xml:space="preserve">ра, работы, </w:t>
            </w:r>
            <w:r>
              <w:rPr>
                <w:sz w:val="20"/>
              </w:rPr>
              <w:lastRenderedPageBreak/>
              <w:t>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Игнорируется и заполняется </w:t>
            </w:r>
            <w:r w:rsidRPr="00C316CF">
              <w:rPr>
                <w:sz w:val="20"/>
              </w:rPr>
              <w:lastRenderedPageBreak/>
              <w:t>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значение поля «Вид характеристики» (kind) = "неизменяемая заказчиком", то значение в блоке игнорируется, из справочника nsiKTRU </w:t>
            </w:r>
            <w:r w:rsidRPr="00C316CF">
              <w:rPr>
                <w:sz w:val="20"/>
              </w:rPr>
              <w:lastRenderedPageBreak/>
              <w:t>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</w:t>
            </w:r>
            <w:r w:rsidRPr="00C316CF">
              <w:rPr>
                <w:b/>
                <w:bCs/>
                <w:sz w:val="20"/>
              </w:rPr>
              <w:lastRenderedPageBreak/>
              <w:t>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</w:t>
            </w:r>
            <w:proofErr w:type="gramStart"/>
            <w:r w:rsidRPr="00C316CF">
              <w:rPr>
                <w:sz w:val="20"/>
              </w:rPr>
              <w:t>)?\</w:t>
            </w:r>
            <w:proofErr w:type="gramEnd"/>
            <w:r w:rsidRPr="00C316CF">
              <w:rPr>
                <w:sz w:val="20"/>
              </w:rPr>
              <w:t>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</w:t>
            </w:r>
            <w:proofErr w:type="gramStart"/>
            <w:r w:rsidRPr="00C316CF">
              <w:rPr>
                <w:sz w:val="20"/>
              </w:rPr>
              <w:t>\.\d{</w:t>
            </w:r>
            <w:proofErr w:type="gramEnd"/>
            <w:r w:rsidRPr="00C316CF">
              <w:rPr>
                <w:sz w:val="20"/>
              </w:rPr>
              <w:t>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</w:t>
            </w:r>
            <w:r w:rsidRPr="00C316CF">
              <w:rPr>
                <w:sz w:val="20"/>
              </w:rPr>
              <w:lastRenderedPageBreak/>
              <w:t xml:space="preserve">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вариантах поставки лекарственных </w:t>
            </w:r>
            <w:r w:rsidRPr="00C316CF">
              <w:rPr>
                <w:sz w:val="20"/>
              </w:rPr>
              <w:lastRenderedPageBreak/>
              <w:t>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заполнено в принимаемом документе, то считается, что 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643DC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643DC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643DC9" w:rsidRPr="00643DC9" w:rsidRDefault="00643DC9" w:rsidP="0068765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643DC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43DC9" w:rsidRPr="00301389" w:rsidRDefault="00643DC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643DC9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6B43" w:rsidRPr="00301389" w:rsidRDefault="00556B43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</w:t>
            </w:r>
            <w:r w:rsidRPr="00C316CF">
              <w:rPr>
                <w:b/>
                <w:bCs/>
                <w:sz w:val="20"/>
              </w:rPr>
              <w:lastRenderedPageBreak/>
              <w:t>extForm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56B43" w:rsidRPr="00301389" w:rsidRDefault="00556B43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556B43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56B43" w:rsidRPr="00301389" w:rsidRDefault="00556B43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556B43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556B43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6B43" w:rsidRPr="00C316CF" w:rsidRDefault="00556B43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556B43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EC32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</w:t>
            </w:r>
            <w:r w:rsidR="007164F6" w:rsidRPr="00C316CF">
              <w:rPr>
                <w:sz w:val="20"/>
              </w:rPr>
              <w:t>Единицы измерения потребительских единиц измерения лекарственных препаратов по ОКЕИ" (nsiDrugOKEI)</w:t>
            </w:r>
          </w:p>
          <w:p w:rsidR="007164F6" w:rsidRPr="007164F6" w:rsidRDefault="007164F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EC32CF" w:rsidRDefault="00EC32CF" w:rsidP="00687656">
            <w:pPr>
              <w:spacing w:before="0" w:after="0"/>
              <w:rPr>
                <w:sz w:val="20"/>
              </w:rPr>
            </w:pPr>
          </w:p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\d+(\.\d{1,2})?</w:t>
            </w: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EC32CF" w:rsidRDefault="00EC32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C32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C32CF" w:rsidRPr="00301389" w:rsidRDefault="00EC32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C32CF" w:rsidRPr="00C316CF" w:rsidRDefault="00EC32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EC32CF" w:rsidRPr="00162C8B" w:rsidRDefault="00EC32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B22" w:rsidRPr="00301389" w:rsidRDefault="002A6B2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Лекарственная форма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B22" w:rsidRPr="00301389" w:rsidRDefault="002A6B2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2A6B22" w:rsidRPr="00162C8B" w:rsidRDefault="002A6B2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2A6B2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2A6B2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2A6B22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2A6B22" w:rsidRPr="00C316CF" w:rsidRDefault="002A6B2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2A6B2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A6B22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приеме, автоматически заполняется при передаче из </w:t>
            </w:r>
            <w:r w:rsidRPr="00C316CF">
              <w:rPr>
                <w:sz w:val="20"/>
              </w:rPr>
              <w:lastRenderedPageBreak/>
              <w:t>справочника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Ограничения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3EF6" w:rsidRPr="00301389" w:rsidRDefault="009E3EF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3EF6" w:rsidRPr="00C316CF" w:rsidRDefault="009E3EF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9E3EF6" w:rsidRPr="00162C8B" w:rsidRDefault="009E3EF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E3EF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E3EF6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9E3EF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9E3EF6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E3EF6" w:rsidRPr="00301389" w:rsidRDefault="009E3EF6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055ECF" w:rsidRPr="00055ECF" w:rsidRDefault="00055ECF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055ECF" w:rsidRPr="00C316CF" w:rsidRDefault="00055EC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802E9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2E99" w:rsidRPr="00301389" w:rsidRDefault="00802E9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</w:t>
            </w:r>
            <w:r w:rsidRPr="00C316CF">
              <w:rPr>
                <w:sz w:val="20"/>
              </w:rPr>
              <w:lastRenderedPageBreak/>
              <w:t>St37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Предметом контракта является </w:t>
            </w:r>
            <w:r w:rsidRPr="00C316CF">
              <w:rPr>
                <w:sz w:val="20"/>
              </w:rPr>
              <w:lastRenderedPageBreak/>
              <w:t>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02E99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FD449A" w:rsidRPr="00162C8B" w:rsidRDefault="00FD449A" w:rsidP="0068765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2E99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2E99" w:rsidRPr="00C316CF" w:rsidRDefault="00802E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02E99" w:rsidRPr="00162C8B" w:rsidRDefault="00802E99" w:rsidP="0068765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C457C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C457C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C457CB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C457CB" w:rsidRPr="00C316CF" w:rsidRDefault="00C457CB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5ECF" w:rsidRPr="00301389" w:rsidRDefault="00055EC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55ECF" w:rsidRPr="00162C8B" w:rsidRDefault="00055EC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C727A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CP - Цена контракта. MC - Расходы на эксплуатацию и ремонт товаров, использование результатов работ. TC - Стоимость жизненного цикла товара или созданного в результате выполнения работы объекта. 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2C727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2C727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C47338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C727A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C47338" w:rsidRPr="00C316CF" w:rsidRDefault="00C47338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C727A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27A" w:rsidRPr="00301389" w:rsidRDefault="002C727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2C727A" w:rsidRPr="00C316CF" w:rsidRDefault="002C727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055ECF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055ECF" w:rsidRPr="00162C8B" w:rsidRDefault="003A078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55ECF" w:rsidRPr="00301389" w:rsidRDefault="00055ECF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</w:t>
            </w:r>
            <w:r w:rsidRPr="00C316CF">
              <w:rPr>
                <w:sz w:val="20"/>
              </w:rPr>
              <w:lastRenderedPageBreak/>
              <w:t>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055ECF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55ECF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A078D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162C8B" w:rsidRDefault="003A078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078D" w:rsidRPr="00301389" w:rsidRDefault="003A078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A078D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078D" w:rsidRPr="00301389" w:rsidRDefault="003A07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A078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A078D" w:rsidRPr="00C316CF" w:rsidRDefault="003A078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</w:t>
            </w:r>
            <w:r w:rsidRPr="00C316CF">
              <w:rPr>
                <w:sz w:val="20"/>
              </w:rPr>
              <w:lastRenderedPageBreak/>
              <w:t>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  <w:r w:rsidR="00A7100E">
              <w:rPr>
                <w:sz w:val="20"/>
              </w:rPr>
              <w:t>.</w:t>
            </w:r>
          </w:p>
          <w:p w:rsidR="00A7100E" w:rsidRDefault="00A7100E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</w:t>
            </w:r>
            <w:proofErr w:type="gramStart"/>
            <w:r w:rsidRPr="00C316CF">
              <w:rPr>
                <w:sz w:val="20"/>
              </w:rPr>
              <w:t>d{</w:t>
            </w:r>
            <w:proofErr w:type="gramEnd"/>
            <w:r w:rsidRPr="00C316CF">
              <w:rPr>
                <w:sz w:val="20"/>
              </w:rPr>
              <w:t>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</w:t>
            </w:r>
            <w:r w:rsidRPr="00FD3022">
              <w:rPr>
                <w:sz w:val="20"/>
              </w:rPr>
              <w:lastRenderedPageBreak/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 xml:space="preserve">Оценка члена комиссии по </w:t>
            </w:r>
            <w:r w:rsidRPr="00FD3022">
              <w:rPr>
                <w:sz w:val="20"/>
              </w:rPr>
              <w:lastRenderedPageBreak/>
              <w:t>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основания признания торгов </w:t>
            </w:r>
            <w:r w:rsidRPr="00C316CF">
              <w:rPr>
                <w:sz w:val="20"/>
              </w:rPr>
              <w:lastRenderedPageBreak/>
              <w:t>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Default="00FF0DF8" w:rsidP="00FF0DF8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  <w:r>
              <w:rPr>
                <w:sz w:val="20"/>
              </w:rPr>
              <w:t>.</w:t>
            </w:r>
          </w:p>
          <w:p w:rsidR="00FF0DF8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Default="00CC39F9" w:rsidP="00FF0DF8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</w:t>
            </w:r>
            <w:r w:rsidRPr="00C316CF">
              <w:rPr>
                <w:sz w:val="20"/>
              </w:rPr>
              <w:lastRenderedPageBreak/>
              <w:t>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Информация об организации, </w:t>
            </w:r>
            <w:r w:rsidRPr="00C316CF">
              <w:rPr>
                <w:sz w:val="20"/>
              </w:rPr>
              <w:lastRenderedPageBreak/>
              <w:t>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</w:t>
            </w:r>
            <w:r w:rsidRPr="00C316CF">
              <w:rPr>
                <w:sz w:val="20"/>
              </w:rPr>
              <w:lastRenderedPageBreak/>
              <w:t>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</w:t>
            </w:r>
            <w:r w:rsidRPr="00C316CF">
              <w:rPr>
                <w:sz w:val="20"/>
              </w:rPr>
              <w:lastRenderedPageBreak/>
              <w:t>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приеме, автоматически </w:t>
            </w:r>
            <w:r w:rsidRPr="00C316CF">
              <w:rPr>
                <w:sz w:val="20"/>
              </w:rPr>
              <w:lastRenderedPageBreak/>
              <w:t>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lastRenderedPageBreak/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Предусмотрено выполнение научно-исследовательских, </w:t>
            </w:r>
            <w:r w:rsidRPr="00C316CF">
              <w:rPr>
                <w:sz w:val="20"/>
              </w:rPr>
              <w:lastRenderedPageBreak/>
              <w:t>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</w:t>
            </w:r>
            <w:r w:rsidRPr="00C316CF"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lastRenderedPageBreak/>
              <w:t>singleAppAdmittedI</w:t>
            </w:r>
            <w:r w:rsidRPr="002F7E33">
              <w:rPr>
                <w:sz w:val="20"/>
              </w:rPr>
              <w:lastRenderedPageBreak/>
              <w:t>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 xml:space="preserve">Информация о допущенной </w:t>
            </w:r>
            <w:r w:rsidRPr="00116843">
              <w:rPr>
                <w:sz w:val="20"/>
              </w:rPr>
              <w:lastRenderedPageBreak/>
              <w:t>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CP - Цена контракта. MC - Расходы на эксплуатацию и ремонт товаров, использование результатов работ. TC - Стоимость жизненного цикла товара или созданного в результате выполнения работы объекта. 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 xml:space="preserve">Критерий оценки с  </w:t>
            </w:r>
            <w:r w:rsidRPr="00A07418">
              <w:rPr>
                <w:sz w:val="20"/>
              </w:rPr>
              <w:lastRenderedPageBreak/>
              <w:t>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 xml:space="preserve">Извещение о проведении ЭOK (открытый </w:t>
            </w:r>
            <w:r w:rsidRPr="000E44B2">
              <w:rPr>
                <w:sz w:val="20"/>
              </w:rPr>
              <w:lastRenderedPageBreak/>
              <w:t>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Для протоколов принимаемых </w:t>
            </w:r>
            <w:r w:rsidRPr="00C316CF">
              <w:rPr>
                <w:sz w:val="20"/>
              </w:rPr>
              <w:lastRenderedPageBreak/>
              <w:t>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</w:t>
            </w:r>
            <w:r w:rsidR="0085589B" w:rsidRPr="0085589B">
              <w:rPr>
                <w:sz w:val="20"/>
              </w:rPr>
              <w:lastRenderedPageBreak/>
              <w:t>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(-)?\d+(\.\d{1,2})?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 xml:space="preserve">Протокол рассмотрения и </w:t>
            </w:r>
            <w:r w:rsidRPr="0096595B">
              <w:rPr>
                <w:bCs/>
                <w:sz w:val="20"/>
              </w:rPr>
              <w:lastRenderedPageBreak/>
              <w:t>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</w:t>
            </w:r>
            <w:proofErr w:type="gramStart"/>
            <w:r w:rsidRPr="00162C8B">
              <w:rPr>
                <w:sz w:val="20"/>
              </w:rPr>
              <w:t>d{</w:t>
            </w:r>
            <w:proofErr w:type="gramEnd"/>
            <w:r w:rsidRPr="00162C8B">
              <w:rPr>
                <w:sz w:val="20"/>
              </w:rPr>
              <w:t>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</w:t>
            </w:r>
            <w:r w:rsidRPr="00C316CF">
              <w:rPr>
                <w:sz w:val="20"/>
              </w:rPr>
              <w:lastRenderedPageBreak/>
              <w:t>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lastRenderedPageBreak/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 xml:space="preserve">Протокол </w:t>
            </w:r>
            <w:r w:rsidRPr="0096595B">
              <w:rPr>
                <w:bCs/>
                <w:sz w:val="20"/>
              </w:rPr>
              <w:lastRenderedPageBreak/>
              <w:t>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 xml:space="preserve"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</w:t>
            </w:r>
            <w:r w:rsidRPr="00FD3C60">
              <w:rPr>
                <w:sz w:val="20"/>
              </w:rPr>
              <w:lastRenderedPageBreak/>
              <w:t>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 xml:space="preserve">) документа </w:t>
            </w:r>
            <w:r>
              <w:rPr>
                <w:sz w:val="20"/>
              </w:rPr>
              <w:lastRenderedPageBreak/>
              <w:t>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</w:t>
            </w:r>
            <w:r w:rsidRPr="00C316CF">
              <w:rPr>
                <w:sz w:val="20"/>
              </w:rPr>
              <w:lastRenderedPageBreak/>
              <w:t>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Информация об организации, </w:t>
            </w:r>
            <w:r w:rsidRPr="00C316CF">
              <w:rPr>
                <w:sz w:val="20"/>
              </w:rPr>
              <w:lastRenderedPageBreak/>
              <w:t>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Дата подачи окончательных </w:t>
            </w:r>
            <w:r w:rsidRPr="00A63BD0">
              <w:rPr>
                <w:sz w:val="20"/>
              </w:rPr>
              <w:lastRenderedPageBreak/>
              <w:t>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lastRenderedPageBreak/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</w:t>
            </w:r>
            <w:r w:rsidRPr="00C316CF">
              <w:rPr>
                <w:sz w:val="20"/>
              </w:rPr>
              <w:lastRenderedPageBreak/>
              <w:t>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</w:t>
            </w:r>
            <w:r w:rsidRPr="00C316CF">
              <w:rPr>
                <w:sz w:val="20"/>
              </w:rPr>
              <w:lastRenderedPageBreak/>
              <w:t>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lastRenderedPageBreak/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Элемент игнорируется при приёме. При передаче заполняется ссылкой на печатную </w:t>
            </w:r>
            <w:r w:rsidRPr="00C316CF">
              <w:rPr>
                <w:sz w:val="20"/>
              </w:rPr>
              <w:lastRenderedPageBreak/>
              <w:t>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lastRenderedPageBreak/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Элемент игнорируется при приёме. При передаче заполняется ссылкой на печатную </w:t>
            </w:r>
            <w:r w:rsidRPr="00C316CF">
              <w:rPr>
                <w:sz w:val="20"/>
              </w:rPr>
              <w:lastRenderedPageBreak/>
              <w:t>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4579C0" w:rsidRDefault="004579C0" w:rsidP="004579C0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4579C0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4579C0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документа в </w:t>
            </w:r>
            <w:r>
              <w:rPr>
                <w:sz w:val="20"/>
              </w:rPr>
              <w:lastRenderedPageBreak/>
              <w:t>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Элемент игнорируется при </w:t>
            </w:r>
            <w:r w:rsidRPr="00C316CF">
              <w:rPr>
                <w:sz w:val="20"/>
              </w:rPr>
              <w:lastRenderedPageBreak/>
              <w:t>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lastRenderedPageBreak/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Описание объекта закупки. В описании объекта закупки могут быть указаны функциональные, технические и качественные </w:t>
            </w:r>
            <w:r w:rsidRPr="00A63BD0">
              <w:rPr>
                <w:sz w:val="20"/>
              </w:rPr>
              <w:lastRenderedPageBreak/>
              <w:t>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Начальная (максимальная) цена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\d+(</w:t>
            </w:r>
            <w:proofErr w:type="gramStart"/>
            <w:r w:rsidRPr="00C316CF">
              <w:rPr>
                <w:sz w:val="20"/>
              </w:rPr>
              <w:t>\.\d{</w:t>
            </w:r>
            <w:proofErr w:type="gramEnd"/>
            <w:r w:rsidRPr="00C316CF">
              <w:rPr>
                <w:sz w:val="20"/>
              </w:rPr>
              <w:t>1,2})?</w:t>
            </w:r>
          </w:p>
          <w:p w:rsidR="00FE764A" w:rsidRPr="0051570C" w:rsidRDefault="00FE764A" w:rsidP="00FE764A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Заполняется автоматически по формуле:</w:t>
            </w:r>
          </w:p>
          <w:p w:rsidR="00FE764A" w:rsidRPr="002C7C2C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</w:t>
            </w:r>
            <w:proofErr w:type="gramStart"/>
            <w:r w:rsidRPr="00A63BD0">
              <w:rPr>
                <w:sz w:val="20"/>
              </w:rPr>
              <w:t>d{</w:t>
            </w:r>
            <w:proofErr w:type="gramEnd"/>
            <w:r w:rsidRPr="00A63BD0">
              <w:rPr>
                <w:sz w:val="20"/>
              </w:rPr>
              <w:t>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</w:t>
            </w:r>
            <w:proofErr w:type="gramStart"/>
            <w:r w:rsidRPr="00A63BD0">
              <w:rPr>
                <w:sz w:val="20"/>
              </w:rPr>
              <w:t>)</w:t>
            </w:r>
            <w:proofErr w:type="gramEnd"/>
            <w:r w:rsidRPr="00A63BD0">
              <w:rPr>
                <w:sz w:val="20"/>
              </w:rPr>
              <w:t xml:space="preserve">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A7100E" w:rsidRDefault="00A7100E" w:rsidP="002F7E33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A7100E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2F7E33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</w:t>
            </w:r>
            <w:r>
              <w:rPr>
                <w:sz w:val="20"/>
              </w:rPr>
              <w:lastRenderedPageBreak/>
              <w:t>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В рамках блока должен быть заполнен блок applicationsInfo </w:t>
            </w:r>
            <w:r w:rsidRPr="00C316CF">
              <w:rPr>
                <w:sz w:val="20"/>
              </w:rPr>
              <w:lastRenderedPageBreak/>
              <w:t>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lastRenderedPageBreak/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lastRenderedPageBreak/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A7100E" w:rsidRDefault="00A7100E" w:rsidP="002F7E33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A7100E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2F7E33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lastRenderedPageBreak/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(-)?\d+(\.\d{1,2})?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lastRenderedPageBreak/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CP-Цена контракта. MC-Расходы на эксплуатацию и ремонт товаров, использование результатов работ. TC-Стоимость жизненного цикла товара или созданного в результате выполнения работы объекта. EN-Предложение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</w:t>
            </w:r>
            <w:r w:rsidR="00727ECF" w:rsidRPr="00727ECF">
              <w:rPr>
                <w:b/>
                <w:sz w:val="20"/>
              </w:rPr>
              <w:lastRenderedPageBreak/>
              <w:t>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A7100E" w:rsidRDefault="00A7100E" w:rsidP="002F7E33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A7100E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2F7E33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(-)?\d+(\.\d{1,2})?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</w:t>
            </w:r>
            <w:r w:rsidRPr="002129D1">
              <w:rPr>
                <w:sz w:val="20"/>
              </w:rPr>
              <w:lastRenderedPageBreak/>
              <w:t>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 xml:space="preserve">Информация о недопущенной </w:t>
            </w:r>
            <w:r w:rsidRPr="002129D1">
              <w:rPr>
                <w:sz w:val="20"/>
              </w:rPr>
              <w:lastRenderedPageBreak/>
              <w:t>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0"/>
        <w:gridCol w:w="6"/>
        <w:gridCol w:w="415"/>
        <w:gridCol w:w="6"/>
        <w:gridCol w:w="1043"/>
        <w:gridCol w:w="6"/>
        <w:gridCol w:w="2926"/>
        <w:gridCol w:w="15"/>
        <w:gridCol w:w="2918"/>
        <w:gridCol w:w="23"/>
      </w:tblGrid>
      <w:tr w:rsidR="00F4468D" w:rsidRPr="00301389" w:rsidTr="00A7100E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A7100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Default="00A7100E" w:rsidP="002F7E33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A7100E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 xml:space="preserve">Извещение о проведении ЭOK (открытый </w:t>
            </w:r>
            <w:r w:rsidRPr="000E44B2">
              <w:rPr>
                <w:sz w:val="20"/>
              </w:rPr>
              <w:lastRenderedPageBreak/>
              <w:t>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2F7E33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</w:t>
            </w:r>
            <w:r w:rsidRPr="00F4468D">
              <w:rPr>
                <w:sz w:val="20"/>
              </w:rPr>
              <w:lastRenderedPageBreak/>
              <w:t xml:space="preserve">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lastRenderedPageBreak/>
              <w:t>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Информация о допущенных </w:t>
            </w:r>
            <w:r>
              <w:rPr>
                <w:sz w:val="20"/>
              </w:rPr>
              <w:lastRenderedPageBreak/>
              <w:t>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 (до 5 </w:t>
            </w:r>
            <w:r>
              <w:rPr>
                <w:sz w:val="20"/>
              </w:rPr>
              <w:lastRenderedPageBreak/>
              <w:t>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Оценка с учётом значимости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CP-Цена контракта. MC-Расходы на эксплуатацию и ремонт товаров, использование результатов работ. TC-Стоимость жизненного цикла товара или созданного в результате выполнения работы объекта. EN-Предложение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EB594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 xml:space="preserve"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</w:t>
            </w:r>
            <w:r>
              <w:rPr>
                <w:sz w:val="20"/>
              </w:rPr>
              <w:lastRenderedPageBreak/>
              <w:t>определенного уровня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 xml:space="preserve"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</w:t>
            </w:r>
            <w:r>
              <w:rPr>
                <w:sz w:val="20"/>
              </w:rPr>
              <w:lastRenderedPageBreak/>
              <w:t>или другому порядку, указанному в документации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6"/>
        <w:gridCol w:w="417"/>
        <w:gridCol w:w="6"/>
        <w:gridCol w:w="1044"/>
        <w:gridCol w:w="6"/>
        <w:gridCol w:w="2927"/>
        <w:gridCol w:w="13"/>
        <w:gridCol w:w="2922"/>
        <w:gridCol w:w="21"/>
      </w:tblGrid>
      <w:tr w:rsidR="009A5BAF" w:rsidRPr="00301389" w:rsidTr="005D29C5">
        <w:trPr>
          <w:gridAfter w:val="1"/>
          <w:wAfter w:w="10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5D29C5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Default="00A7100E" w:rsidP="002F7E33">
            <w:pPr>
              <w:spacing w:before="0" w:after="0"/>
              <w:rPr>
                <w:sz w:val="20"/>
              </w:rPr>
            </w:pPr>
            <w:r w:rsidRPr="00FD3C60">
              <w:rPr>
                <w:sz w:val="20"/>
              </w:rPr>
              <w:t>При указании блока должен быть заполнен элемент foundationDocNumber или foundationDocNumberExternal. В случае указания обоих элементов, элемент foundationDocNumberExternal будет игнорироваться. При выгрузке заполняются оба вложенных элемента</w:t>
            </w:r>
          </w:p>
          <w:p w:rsidR="00A7100E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proofErr w:type="gramStart"/>
            <w:r>
              <w:rPr>
                <w:sz w:val="20"/>
              </w:rPr>
              <w:t>блока  см.</w:t>
            </w:r>
            <w:proofErr w:type="gramEnd"/>
            <w:r>
              <w:rPr>
                <w:sz w:val="20"/>
              </w:rPr>
              <w:t xml:space="preserve"> состав соответствующего блока в документе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  <w:p w:rsidR="00CC39F9" w:rsidRPr="00C316CF" w:rsidRDefault="00CC39F9" w:rsidP="002F7E33">
            <w:pPr>
              <w:spacing w:before="0" w:after="0"/>
              <w:rPr>
                <w:sz w:val="20"/>
              </w:rPr>
            </w:pPr>
            <w:r w:rsidRPr="00CC39F9">
              <w:rPr>
                <w:sz w:val="20"/>
              </w:rPr>
              <w:t xml:space="preserve">В версии </w:t>
            </w:r>
            <w:r w:rsidR="003B6457">
              <w:rPr>
                <w:sz w:val="20"/>
              </w:rPr>
              <w:t>8.2, 8.2.100, 8.3</w:t>
            </w:r>
            <w:r w:rsidRPr="00CC39F9">
              <w:rPr>
                <w:sz w:val="20"/>
              </w:rPr>
              <w:t xml:space="preserve"> игнорируется при приеме-передаче, добавлено на развитие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C316CF">
              <w:rPr>
                <w:sz w:val="20"/>
              </w:rPr>
              <w:lastRenderedPageBreak/>
              <w:t>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 (до 5 всего, до 2 </w:t>
            </w:r>
            <w:r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 (-)?\d+(\.\d{1,2})?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sectPr w:rsidR="009A5BA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22E7470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6457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2CA8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F51"/>
    <w:rsid w:val="00985F3B"/>
    <w:rsid w:val="00986277"/>
    <w:rsid w:val="00987F06"/>
    <w:rsid w:val="00995490"/>
    <w:rsid w:val="00995FA5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F9ED4C-9048-4F30-A6A3-2ECD3EF9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14447</TotalTime>
  <Pages>1</Pages>
  <Words>36957</Words>
  <Characters>210658</Characters>
  <Application>Microsoft Office Word</Application>
  <DocSecurity>0</DocSecurity>
  <Lines>1755</Lines>
  <Paragraphs>494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260</cp:revision>
  <dcterms:created xsi:type="dcterms:W3CDTF">2017-11-16T14:32:00Z</dcterms:created>
  <dcterms:modified xsi:type="dcterms:W3CDTF">2018-11-07T09:29:00Z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