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363EF5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33336" w:rsidRPr="00221059">
        <w:rPr>
          <w:sz w:val="28"/>
        </w:rPr>
        <w:t>8</w:t>
      </w:r>
      <w:r w:rsidR="00E97AA5" w:rsidRPr="00E97AA5">
        <w:rPr>
          <w:sz w:val="28"/>
        </w:rPr>
        <w:t>.</w:t>
      </w:r>
      <w:r w:rsidR="00DC1AB6" w:rsidRPr="00363EF5">
        <w:rPr>
          <w:sz w:val="28"/>
        </w:rPr>
        <w:t>3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B2EB1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F0153B" w:rsidRDefault="005850BC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E232BB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5850BC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5850BC" w:rsidP="00633356">
            <w:pPr>
              <w:spacing w:before="0" w:after="0"/>
              <w:jc w:val="both"/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 w:rsidRPr="005437E9">
              <w:rPr>
                <w:sz w:val="20"/>
              </w:rPr>
              <w:t>Agency</w:t>
            </w:r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5850BC" w:rsidP="00633356">
            <w:pPr>
              <w:spacing w:before="0" w:after="0"/>
              <w:jc w:val="both"/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5850BC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Pr="00E232BB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3B7C0D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8376F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8B2EB1" w:rsidRPr="00BE4E26" w:rsidRDefault="00BE4E2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="00F56E4B"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8B2EB1" w:rsidRDefault="00997BC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850BC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 xml:space="preserve">Общая информация (для </w:t>
            </w:r>
            <w:r w:rsidRPr="005A1EB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Содержимое блока игнорируется </w:t>
            </w:r>
            <w:r>
              <w:rPr>
                <w:sz w:val="20"/>
              </w:rPr>
              <w:lastRenderedPageBreak/>
              <w:t>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lastRenderedPageBreak/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5850BC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5850BC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5850BC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</w:t>
            </w:r>
            <w:r w:rsidRPr="00E922DA">
              <w:rPr>
                <w:sz w:val="20"/>
              </w:rPr>
              <w:lastRenderedPageBreak/>
              <w:t>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Полное наименование, </w:t>
            </w:r>
            <w:r w:rsidRPr="00E922DA">
              <w:rPr>
                <w:sz w:val="20"/>
              </w:rPr>
              <w:lastRenderedPageBreak/>
              <w:t>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должно  быть заполнено при </w:t>
            </w:r>
            <w:r w:rsidRPr="003D7A99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Дата поступления информации об 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lastRenderedPageBreak/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</w:t>
            </w:r>
            <w:r>
              <w:rPr>
                <w:sz w:val="20"/>
              </w:rPr>
              <w:lastRenderedPageBreak/>
              <w:t>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5850BC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5850BC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5850BC" w:rsidP="00464998">
            <w:pPr>
              <w:spacing w:before="0" w:after="0"/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5850BC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5850BC" w:rsidP="00464998">
            <w:pPr>
              <w:spacing w:before="0" w:after="0"/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5437E9" w:rsidRDefault="005850BC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5850BC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5850BC" w:rsidP="00464998">
            <w:pPr>
              <w:spacing w:before="0" w:after="0"/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5850BC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5850BC" w:rsidP="00464998">
            <w:pPr>
              <w:spacing w:before="0" w:after="0"/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923574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Формат \d{9}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Pr="00A47C6C" w:rsidRDefault="00FF40F3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lastRenderedPageBreak/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5850BC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5850BC" w:rsidP="00633356">
            <w:pPr>
              <w:spacing w:before="0" w:after="0"/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5850BC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5850BC" w:rsidP="00633356">
            <w:pPr>
              <w:spacing w:before="0" w:after="0"/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5437E9" w:rsidRDefault="005850BC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5850BC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5850BC" w:rsidP="00633356">
            <w:pPr>
              <w:spacing w:before="0" w:after="0"/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5850BC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5850BC" w:rsidP="00633356">
            <w:pPr>
              <w:spacing w:before="0" w:after="0"/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5C7D2F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4900D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CD7AC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623095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F03CF4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Формат \d{9}</w:t>
            </w: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комиссия  (согласно ПП </w:t>
            </w:r>
            <w:r w:rsidRPr="000409FC">
              <w:rPr>
                <w:sz w:val="20"/>
              </w:rPr>
              <w:lastRenderedPageBreak/>
              <w:t>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lastRenderedPageBreak/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lastRenderedPageBreak/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M - Орган местного </w:t>
            </w:r>
            <w:r>
              <w:rPr>
                <w:sz w:val="20"/>
              </w:rPr>
              <w:lastRenderedPageBreak/>
              <w:t>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Pr="00A47C6C" w:rsidRDefault="00843972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B8363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5850BC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B8363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5850BC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5850BC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B8363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5850BC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5850BC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B8363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5850BC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5850BC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12095D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C2114A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5850BC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F0153B" w:rsidRDefault="005850BC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623095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5850BC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61469" w:rsidRDefault="005850BC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5850BC" w:rsidP="00E86266">
            <w:pPr>
              <w:spacing w:before="0" w:after="0"/>
              <w:jc w:val="both"/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5850BC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5850BC" w:rsidP="00E86266">
            <w:pPr>
              <w:spacing w:before="0" w:after="0"/>
              <w:jc w:val="both"/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7606AA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7606AA" w:rsidRPr="00E232BB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4E0336" w:rsidRDefault="00550A6F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550A6F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550A6F" w:rsidRPr="00E232BB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5850BC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Pr="00A47C6C" w:rsidRDefault="006B3AF7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Pr="0012095D" w:rsidRDefault="0078227F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D83AB8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6"/>
        <w:gridCol w:w="1558"/>
        <w:gridCol w:w="425"/>
        <w:gridCol w:w="982"/>
        <w:gridCol w:w="11"/>
        <w:gridCol w:w="2969"/>
        <w:gridCol w:w="8"/>
        <w:gridCol w:w="2340"/>
        <w:gridCol w:w="646"/>
      </w:tblGrid>
      <w:tr w:rsidR="007F0C0F" w:rsidRPr="001A4780" w:rsidTr="000A0F3B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4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  <w:r w:rsidRPr="00995FA5">
              <w:rPr>
                <w:sz w:val="20"/>
              </w:rPr>
              <w:t xml:space="preserve"> 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303CF5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A0F3B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A0F3B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24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24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Начальная</w:t>
            </w:r>
            <w:r>
              <w:rPr>
                <w:sz w:val="20"/>
              </w:rPr>
              <w:t xml:space="preserve"> (максимальная) цена контракта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Начальная (максимальная) цена контракта (НМЦК). Игнорируется при приеме. Правила заполнения см. описание поля planPaymentsChange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A0F3B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A0F3B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A0F3B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0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A0F3B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1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20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A0F3B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0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A0F3B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20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A0F3B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20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0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A0F3B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A0F3B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A0F3B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24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24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B01A6" w:rsidRPr="00B405F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522C6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522C6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06C87" w:rsidRPr="00906C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\d{1,18}(\.\d{1,2})?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B718B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5C3155" w:rsidRPr="00906C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2B7DCF">
        <w:trPr>
          <w:trHeight w:val="1518"/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2B7DCF">
        <w:trPr>
          <w:trHeight w:val="1518"/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664D4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</w:t>
            </w:r>
            <w:r w:rsidRPr="00BE6221">
              <w:rPr>
                <w:sz w:val="20"/>
                <w:lang w:val="en-US"/>
              </w:rPr>
              <w:t>averagePriceValue</w:t>
            </w:r>
            <w:r w:rsidRPr="00BE6221">
              <w:rPr>
                <w:sz w:val="20"/>
              </w:rPr>
              <w:t xml:space="preserve"> округленным значением </w:t>
            </w:r>
            <w:r w:rsidRPr="00BE6221">
              <w:rPr>
                <w:sz w:val="20"/>
                <w:lang w:val="en-US"/>
              </w:rPr>
              <w:t>drugQuantityInfo</w:t>
            </w:r>
            <w:r w:rsidRPr="00BE6221">
              <w:rPr>
                <w:sz w:val="20"/>
              </w:rPr>
              <w:t>\</w:t>
            </w:r>
            <w:r w:rsidRPr="00BE6221">
              <w:rPr>
                <w:sz w:val="20"/>
                <w:lang w:val="en-US"/>
              </w:rPr>
              <w:t>total</w:t>
            </w:r>
            <w:r w:rsidRPr="00BE6221">
              <w:rPr>
                <w:sz w:val="20"/>
              </w:rPr>
              <w:t xml:space="preserve"> * </w:t>
            </w:r>
            <w:r w:rsidRPr="00BE6221">
              <w:rPr>
                <w:sz w:val="20"/>
                <w:lang w:val="en-US"/>
              </w:rPr>
              <w:t>averagePriceValue</w:t>
            </w:r>
          </w:p>
          <w:p w:rsidR="005C3155" w:rsidRPr="00664D40" w:rsidRDefault="005C3155" w:rsidP="001927B8">
            <w:pPr>
              <w:spacing w:before="0" w:after="0"/>
              <w:jc w:val="both"/>
              <w:rPr>
                <w:sz w:val="20"/>
              </w:rPr>
            </w:pP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2B7DCF">
        <w:trPr>
          <w:jc w:val="center"/>
        </w:trPr>
        <w:tc>
          <w:tcPr>
            <w:tcW w:w="746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B83636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B83636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2B7DCF">
        <w:trPr>
          <w:trHeight w:val="1518"/>
          <w:jc w:val="center"/>
        </w:trPr>
        <w:tc>
          <w:tcPr>
            <w:tcW w:w="746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F66DDD" w:rsidRPr="00B169BD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2B7DCF">
        <w:trPr>
          <w:trHeight w:val="1518"/>
          <w:jc w:val="center"/>
        </w:trPr>
        <w:tc>
          <w:tcPr>
            <w:tcW w:w="746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363EF5">
        <w:trPr>
          <w:trHeight w:val="1518"/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363EF5">
        <w:trPr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363EF5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363EF5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363EF5">
        <w:trPr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FB6AA3">
        <w:trPr>
          <w:jc w:val="center"/>
        </w:trPr>
        <w:tc>
          <w:tcPr>
            <w:tcW w:w="746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447C3" w:rsidRPr="0087457C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363EF5">
        <w:trPr>
          <w:jc w:val="center"/>
        </w:trPr>
        <w:tc>
          <w:tcPr>
            <w:tcW w:w="746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FB6AA3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447C3" w:rsidRPr="00F447C3" w:rsidRDefault="00F447C3" w:rsidP="00FB6AA3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FB6A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447C3" w:rsidRPr="004C1DBA" w:rsidRDefault="00F447C3" w:rsidP="00FB6AA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FB6AA3">
        <w:trPr>
          <w:jc w:val="center"/>
        </w:trPr>
        <w:tc>
          <w:tcPr>
            <w:tcW w:w="746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447C3" w:rsidRPr="0087457C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B6AA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FB6AA3">
        <w:trPr>
          <w:jc w:val="center"/>
        </w:trPr>
        <w:tc>
          <w:tcPr>
            <w:tcW w:w="746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2B7DCF">
        <w:trPr>
          <w:jc w:val="center"/>
        </w:trPr>
        <w:tc>
          <w:tcPr>
            <w:tcW w:w="746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2B7DCF">
        <w:trPr>
          <w:trHeight w:val="536"/>
          <w:jc w:val="center"/>
        </w:trPr>
        <w:tc>
          <w:tcPr>
            <w:tcW w:w="746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CD4860" w:rsidRPr="00B169BD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2302E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Цена запасной части  к технике, оборудованию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2B7DCF">
        <w:trPr>
          <w:trHeight w:val="56"/>
          <w:jc w:val="center"/>
        </w:trPr>
        <w:tc>
          <w:tcPr>
            <w:tcW w:w="746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0522C6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522C6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522C6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221059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221059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221059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221059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87336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873369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522C6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522C6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522C6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F81821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303CF5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F81821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24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24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303CF5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F81821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303CF5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522C6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577EB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460CBE" w:rsidRPr="001A478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E24867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E24867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46198E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F81821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F81821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B83636" w:rsidTr="007F20A3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TREASURE_SUPPORT.</w:t>
            </w: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63679B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63679B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995FA5" w:rsidRDefault="001927B8" w:rsidP="001927B8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shd w:val="clear" w:color="auto" w:fill="auto"/>
          </w:tcPr>
          <w:p w:rsidR="001927B8" w:rsidRPr="00995FA5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644C5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95FA5" w:rsidRDefault="001927B8" w:rsidP="001927B8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63679B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76521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F4285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73648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736481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73648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73648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1927B8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4E68" w:rsidRPr="00A51F10" w:rsidRDefault="00244E68" w:rsidP="001927B8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1927B8" w:rsidRPr="00736481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4E6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 w:rsidR="00244E68">
              <w:rPr>
                <w:sz w:val="20"/>
              </w:rPr>
              <w:t>;</w:t>
            </w:r>
          </w:p>
          <w:p w:rsidR="001927B8" w:rsidRPr="00736481" w:rsidRDefault="00244E68" w:rsidP="00244E68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73648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shd w:val="clear" w:color="auto" w:fill="auto"/>
          </w:tcPr>
          <w:p w:rsidR="001927B8" w:rsidRPr="0073648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A0DF2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16437E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16437E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16437E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522331" w:rsidTr="007F0C0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52233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E298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1927B8" w:rsidRPr="00CD4DF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077C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FB25DD" w:rsidRPr="000D6769" w:rsidRDefault="00FB25DD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B25DD" w:rsidRPr="000D6769" w:rsidRDefault="00FB25DD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FB25DD" w:rsidRDefault="00FB25DD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Default="00FB25DD" w:rsidP="00FB25D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62109E" w:rsidRDefault="00426A0E" w:rsidP="000522C6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426A0E" w:rsidRDefault="00426A0E" w:rsidP="000522C6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62109E" w:rsidRPr="001E53C0" w:rsidRDefault="0062109E" w:rsidP="006210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B35C64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1927B8" w:rsidRPr="00B35C64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B35C64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1927B8" w:rsidRPr="00DE4F06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1927B8" w:rsidRPr="00DE4F06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81BC1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33149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1A1B3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1927B8" w:rsidRPr="00864AE5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4E0336" w:rsidRDefault="001927B8" w:rsidP="001927B8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140E70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C6384" w:rsidRPr="00EB0F3F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497360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633FFC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1927B8" w:rsidRPr="00633FFC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633FFC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1927B8" w:rsidRPr="00EB0F3F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B0F3F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1927B8" w:rsidRPr="00EB0F3F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EB0F3F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1927B8" w:rsidRPr="00EB0F3F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1927B8" w:rsidRPr="00DE4F06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DE4F06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7C2313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1E53C0" w:rsidRDefault="00B83636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7C2313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7C2313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1927B8" w:rsidRPr="002A6587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D16A5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C6384" w:rsidRPr="000145E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AC29B4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0145E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AC29B4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1927B8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 w:rsidR="000E3458">
              <w:rPr>
                <w:sz w:val="20"/>
              </w:rPr>
              <w:t>;</w:t>
            </w:r>
          </w:p>
          <w:p w:rsidR="000E3458" w:rsidRPr="00515010" w:rsidRDefault="000E3458" w:rsidP="000E34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0E3458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 w:rsidR="000E3458">
              <w:rPr>
                <w:sz w:val="20"/>
              </w:rPr>
              <w:t>;</w:t>
            </w:r>
          </w:p>
          <w:p w:rsidR="001927B8" w:rsidRPr="001A4780" w:rsidRDefault="000E3458" w:rsidP="000E3458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shd w:val="clear" w:color="auto" w:fill="auto"/>
          </w:tcPr>
          <w:p w:rsidR="001927B8" w:rsidRPr="002D4025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Обоснование метода определения НМЦК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8F3408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C6384" w:rsidRPr="008F3408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2A6587" w:rsidTr="002B7DCF">
        <w:trPr>
          <w:gridAfter w:val="1"/>
          <w:wAfter w:w="307" w:type="pct"/>
          <w:jc w:val="center"/>
        </w:trPr>
        <w:tc>
          <w:tcPr>
            <w:tcW w:w="4693" w:type="pct"/>
            <w:gridSpan w:val="9"/>
            <w:shd w:val="clear" w:color="auto" w:fill="auto"/>
            <w:vAlign w:val="center"/>
            <w:hideMark/>
          </w:tcPr>
          <w:p w:rsidR="001927B8" w:rsidRPr="00B02BA2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C6384" w:rsidRPr="000145EF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</w:tcPr>
          <w:p w:rsidR="001927B8" w:rsidRPr="00AC29B4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1927B8" w:rsidRPr="00B02BA2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A176B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4A176B" w:rsidRPr="001B3C27" w:rsidRDefault="004A176B" w:rsidP="004A17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4A176B" w:rsidRPr="005D20C0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Pr="005D20C0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4A176B" w:rsidRDefault="004A176B" w:rsidP="004A176B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1E53C0" w:rsidRDefault="004A176B" w:rsidP="004A176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1927B8" w:rsidRPr="00F875F7" w:rsidTr="002B7DCF">
        <w:trPr>
          <w:gridAfter w:val="1"/>
          <w:wAfter w:w="307" w:type="pct"/>
          <w:jc w:val="center"/>
        </w:trPr>
        <w:tc>
          <w:tcPr>
            <w:tcW w:w="4693" w:type="pct"/>
            <w:gridSpan w:val="9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F875F7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1927B8" w:rsidRPr="00F875F7" w:rsidTr="002B7DCF">
        <w:trPr>
          <w:gridAfter w:val="1"/>
          <w:wAfter w:w="307" w:type="pct"/>
          <w:jc w:val="center"/>
        </w:trPr>
        <w:tc>
          <w:tcPr>
            <w:tcW w:w="4693" w:type="pct"/>
            <w:gridSpan w:val="9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2B7DCF">
        <w:trPr>
          <w:gridAfter w:val="1"/>
          <w:wAfter w:w="307" w:type="pct"/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393A5C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393A5C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1927B8" w:rsidRPr="00616CA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C6384" w:rsidRPr="001A4780" w:rsidTr="002B7DCF">
        <w:trPr>
          <w:gridAfter w:val="1"/>
          <w:wAfter w:w="307" w:type="pct"/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393A5C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927B8" w:rsidRPr="008F3408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C6384" w:rsidRPr="008F3408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A587F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9A587F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C6384" w:rsidRPr="009A587F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9A587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9A587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A587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A587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9A587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A587F" w:rsidRDefault="001927B8" w:rsidP="001927B8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1927B8" w:rsidRPr="00090B96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C6384" w:rsidRPr="00090B96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090B96" w:rsidRDefault="001927B8" w:rsidP="001927B8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90B96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DF70E2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8F3408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C6384" w:rsidRPr="008F3408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8F3408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C6384" w:rsidRPr="008F3408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1927B8" w:rsidRPr="008F3408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C6384" w:rsidRPr="008F3408" w:rsidTr="002B7DCF">
        <w:trPr>
          <w:jc w:val="center"/>
        </w:trPr>
        <w:tc>
          <w:tcPr>
            <w:tcW w:w="746" w:type="pct"/>
            <w:shd w:val="clear" w:color="auto" w:fill="auto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F3408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  <w:hideMark/>
          </w:tcPr>
          <w:p w:rsidR="001927B8" w:rsidRPr="008F3408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C6384" w:rsidRPr="001A4780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A587F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DE7C23" w:rsidRDefault="001927B8" w:rsidP="001927B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1927B8" w:rsidRPr="00675499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675499" w:rsidRDefault="001927B8" w:rsidP="001927B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1B15CB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1B15C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1B15C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BD7A5B" w:rsidP="001927B8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6804F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6804F4" w:rsidRDefault="00BD7A5B" w:rsidP="001927B8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A0577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D7A5B" w:rsidRPr="006804F4" w:rsidRDefault="00BD7A5B" w:rsidP="001927B8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6804F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675499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675499" w:rsidRDefault="001927B8" w:rsidP="001927B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27B8" w:rsidRPr="00675499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E13A43" w:rsidRDefault="001927B8" w:rsidP="001927B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F3BE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DF3BE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DF3BE0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675499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675499" w:rsidRDefault="001927B8" w:rsidP="001927B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C6384" w:rsidRPr="00675499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27B8" w:rsidRPr="00675499" w:rsidTr="002B7DCF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927B8" w:rsidRPr="00675499" w:rsidRDefault="001927B8" w:rsidP="001927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C6384" w:rsidRPr="00675499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A83433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 w:val="restar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vMerge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A95E4B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4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1927B8" w:rsidRDefault="001927B8" w:rsidP="001927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1927B8" w:rsidRPr="00A47C6C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2C6384" w:rsidRPr="00CF443D" w:rsidTr="002B7DCF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1927B8" w:rsidRPr="00A47C6C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:rsidR="001927B8" w:rsidRPr="00E8791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4" w:type="pct"/>
            <w:gridSpan w:val="3"/>
            <w:shd w:val="clear" w:color="auto" w:fill="auto"/>
            <w:vAlign w:val="center"/>
          </w:tcPr>
          <w:p w:rsidR="001927B8" w:rsidRPr="00E8791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8.2.100, 8.3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75F06"/>
    <w:rsid w:val="00176029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12DE"/>
    <w:rsid w:val="001D4569"/>
    <w:rsid w:val="001D499D"/>
    <w:rsid w:val="001E0760"/>
    <w:rsid w:val="001E3E0E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3D1B"/>
    <w:rsid w:val="00294591"/>
    <w:rsid w:val="00294919"/>
    <w:rsid w:val="0029638C"/>
    <w:rsid w:val="002A0EDB"/>
    <w:rsid w:val="002A293B"/>
    <w:rsid w:val="002A3D19"/>
    <w:rsid w:val="002A5E86"/>
    <w:rsid w:val="002A6006"/>
    <w:rsid w:val="002B7DCF"/>
    <w:rsid w:val="002C2A75"/>
    <w:rsid w:val="002C2E25"/>
    <w:rsid w:val="002C2FAF"/>
    <w:rsid w:val="002C455F"/>
    <w:rsid w:val="002C6384"/>
    <w:rsid w:val="002D4025"/>
    <w:rsid w:val="002D5266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1011F"/>
    <w:rsid w:val="00416B5D"/>
    <w:rsid w:val="00426A0E"/>
    <w:rsid w:val="00440DCD"/>
    <w:rsid w:val="00447630"/>
    <w:rsid w:val="00451BE6"/>
    <w:rsid w:val="00451D0A"/>
    <w:rsid w:val="00452190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41C3"/>
    <w:rsid w:val="00507BE2"/>
    <w:rsid w:val="00511E76"/>
    <w:rsid w:val="00512C28"/>
    <w:rsid w:val="005223C1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C0F"/>
    <w:rsid w:val="005850BC"/>
    <w:rsid w:val="00590F0B"/>
    <w:rsid w:val="0059521B"/>
    <w:rsid w:val="005A022E"/>
    <w:rsid w:val="005A1EB6"/>
    <w:rsid w:val="005A53E2"/>
    <w:rsid w:val="005A6E09"/>
    <w:rsid w:val="005B01A6"/>
    <w:rsid w:val="005B52E9"/>
    <w:rsid w:val="005C3155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301A2"/>
    <w:rsid w:val="00932DE5"/>
    <w:rsid w:val="009330E1"/>
    <w:rsid w:val="009475EE"/>
    <w:rsid w:val="0095137A"/>
    <w:rsid w:val="009527EC"/>
    <w:rsid w:val="00955666"/>
    <w:rsid w:val="009575F3"/>
    <w:rsid w:val="00964FA5"/>
    <w:rsid w:val="00970FBB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2A10"/>
    <w:rsid w:val="00CB2E49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419B4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AE86D8AF-0063-4612-9222-858FCFC9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10159</TotalTime>
  <Pages>1</Pages>
  <Words>48205</Words>
  <Characters>274773</Characters>
  <Application>Microsoft Office Word</Application>
  <DocSecurity>0</DocSecurity>
  <Lines>2289</Lines>
  <Paragraphs>644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215</cp:revision>
  <dcterms:created xsi:type="dcterms:W3CDTF">2014-10-22T09:24:00Z</dcterms:created>
  <dcterms:modified xsi:type="dcterms:W3CDTF">2018-11-07T09:30:00Z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